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214630</wp:posOffset>
            </wp:positionH>
            <wp:positionV relativeFrom="page">
              <wp:posOffset>662940</wp:posOffset>
            </wp:positionV>
            <wp:extent cx="7119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9620" cy="8255"/>
                    </a:xfrm>
                    <a:prstGeom prst="rect">
                      <a:avLst/>
                    </a:prstGeom>
                    <a:noFill/>
                  </pic:spPr>
                </pic:pic>
              </a:graphicData>
            </a:graphic>
          </wp:anchor>
        </w:drawing>
        <w:drawing>
          <wp:anchor simplePos="0" relativeHeight="251657728" behindDoc="1" locked="0" layoutInCell="0" allowOverlap="1">
            <wp:simplePos x="0" y="0"/>
            <wp:positionH relativeFrom="page">
              <wp:posOffset>214630</wp:posOffset>
            </wp:positionH>
            <wp:positionV relativeFrom="page">
              <wp:posOffset>687705</wp:posOffset>
            </wp:positionV>
            <wp:extent cx="7119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96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0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4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97" w:lineRule="exact"/>
        <w:rPr>
          <w:sz w:val="24"/>
          <w:szCs w:val="24"/>
          <w:color w:val="auto"/>
        </w:rPr>
      </w:pPr>
    </w:p>
    <w:p>
      <w:pPr>
        <w:jc w:val="center"/>
        <w:ind w:left="3860" w:right="1160" w:hanging="2795"/>
        <w:spacing w:after="0" w:line="289" w:lineRule="auto"/>
        <w:tabs>
          <w:tab w:leader="none" w:pos="12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 (d) OF THE SECURITIES EXCHANGE ACT OF 1934 For the quarterly period ended March 31, 2022</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66" w:lineRule="exact"/>
        <w:rPr>
          <w:sz w:val="24"/>
          <w:szCs w:val="24"/>
          <w:color w:val="auto"/>
        </w:rPr>
      </w:pPr>
    </w:p>
    <w:p>
      <w:pPr>
        <w:ind w:left="1260" w:hanging="201"/>
        <w:spacing w:after="0"/>
        <w:tabs>
          <w:tab w:leader="none" w:pos="12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 (d) OF THE SECURITIES EXCHANGE ACT OF 1934</w:t>
      </w:r>
    </w:p>
    <w:p>
      <w:pPr>
        <w:spacing w:after="0" w:line="36"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2680" w:type="dxa"/>
            <w:vAlign w:val="bottom"/>
            <w:gridSpan w:val="3"/>
          </w:tcPr>
          <w:p>
            <w:pPr>
              <w:ind w:left="2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460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to</w:t>
            </w:r>
          </w:p>
        </w:tc>
      </w:tr>
      <w:tr>
        <w:trPr>
          <w:trHeight w:val="213"/>
        </w:trPr>
        <w:tc>
          <w:tcPr>
            <w:tcW w:w="3540" w:type="dxa"/>
            <w:vAlign w:val="bottom"/>
          </w:tcPr>
          <w:p>
            <w:pPr>
              <w:spacing w:after="0"/>
              <w:rPr>
                <w:sz w:val="18"/>
                <w:szCs w:val="18"/>
                <w:color w:val="auto"/>
              </w:rPr>
            </w:pPr>
          </w:p>
        </w:tc>
        <w:tc>
          <w:tcPr>
            <w:tcW w:w="7280" w:type="dxa"/>
            <w:vAlign w:val="bottom"/>
            <w:gridSpan w:val="6"/>
          </w:tcPr>
          <w:p>
            <w:pPr>
              <w:jc w:val="center"/>
              <w:ind w:right="3788"/>
              <w:spacing w:after="0"/>
              <w:rPr>
                <w:sz w:val="20"/>
                <w:szCs w:val="20"/>
                <w:color w:val="auto"/>
              </w:rPr>
            </w:pPr>
            <w:r>
              <w:rPr>
                <w:rFonts w:ascii="Times New Roman" w:cs="Times New Roman" w:eastAsia="Times New Roman" w:hAnsi="Times New Roman"/>
                <w:sz w:val="17"/>
                <w:szCs w:val="17"/>
                <w:b w:val="1"/>
                <w:bCs w:val="1"/>
                <w:color w:val="auto"/>
              </w:rPr>
              <w:t>Commission file number: 001-37352</w:t>
            </w:r>
          </w:p>
        </w:tc>
      </w:tr>
      <w:tr>
        <w:trPr>
          <w:trHeight w:val="297"/>
        </w:trPr>
        <w:tc>
          <w:tcPr>
            <w:tcW w:w="3540" w:type="dxa"/>
            <w:vAlign w:val="bottom"/>
          </w:tcPr>
          <w:p>
            <w:pPr>
              <w:spacing w:after="0"/>
              <w:rPr>
                <w:sz w:val="24"/>
                <w:szCs w:val="24"/>
                <w:color w:val="auto"/>
              </w:rPr>
            </w:pPr>
          </w:p>
        </w:tc>
        <w:tc>
          <w:tcPr>
            <w:tcW w:w="7280" w:type="dxa"/>
            <w:vAlign w:val="bottom"/>
            <w:gridSpan w:val="6"/>
          </w:tcPr>
          <w:p>
            <w:pPr>
              <w:jc w:val="center"/>
              <w:ind w:right="3808"/>
              <w:spacing w:after="0"/>
              <w:rPr>
                <w:sz w:val="20"/>
                <w:szCs w:val="20"/>
                <w:color w:val="auto"/>
              </w:rPr>
            </w:pPr>
            <w:r>
              <w:rPr>
                <w:rFonts w:ascii="Times New Roman" w:cs="Times New Roman" w:eastAsia="Times New Roman" w:hAnsi="Times New Roman"/>
                <w:sz w:val="24"/>
                <w:szCs w:val="24"/>
                <w:b w:val="1"/>
                <w:bCs w:val="1"/>
                <w:color w:val="auto"/>
              </w:rPr>
              <w:t>Virtu Financial, Inc.</w:t>
            </w:r>
          </w:p>
        </w:tc>
      </w:tr>
      <w:tr>
        <w:trPr>
          <w:trHeight w:val="159"/>
        </w:trPr>
        <w:tc>
          <w:tcPr>
            <w:tcW w:w="3540" w:type="dxa"/>
            <w:vAlign w:val="bottom"/>
          </w:tcPr>
          <w:p>
            <w:pPr>
              <w:spacing w:after="0"/>
              <w:rPr>
                <w:sz w:val="13"/>
                <w:szCs w:val="13"/>
                <w:color w:val="auto"/>
              </w:rPr>
            </w:pPr>
          </w:p>
        </w:tc>
        <w:tc>
          <w:tcPr>
            <w:tcW w:w="7280" w:type="dxa"/>
            <w:vAlign w:val="bottom"/>
            <w:gridSpan w:val="6"/>
          </w:tcPr>
          <w:p>
            <w:pPr>
              <w:jc w:val="center"/>
              <w:ind w:right="3808"/>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r>
      <w:tr>
        <w:trPr>
          <w:trHeight w:val="256"/>
        </w:trPr>
        <w:tc>
          <w:tcPr>
            <w:tcW w:w="3540" w:type="dxa"/>
            <w:vAlign w:val="bottom"/>
          </w:tcPr>
          <w:p>
            <w:pPr>
              <w:jc w:val="center"/>
              <w:ind w:left="1266"/>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600" w:type="dxa"/>
            <w:vAlign w:val="bottom"/>
            <w:gridSpan w:val="3"/>
          </w:tcPr>
          <w:p>
            <w:pPr>
              <w:jc w:val="right"/>
              <w:ind w:right="2288"/>
              <w:spacing w:after="0"/>
              <w:rPr>
                <w:sz w:val="20"/>
                <w:szCs w:val="20"/>
                <w:color w:val="auto"/>
              </w:rPr>
            </w:pPr>
            <w:r>
              <w:rPr>
                <w:rFonts w:ascii="Times New Roman" w:cs="Times New Roman" w:eastAsia="Times New Roman" w:hAnsi="Times New Roman"/>
                <w:sz w:val="17"/>
                <w:szCs w:val="17"/>
                <w:b w:val="1"/>
                <w:bCs w:val="1"/>
                <w:color w:val="auto"/>
              </w:rPr>
              <w:t>32-0420206</w:t>
            </w:r>
          </w:p>
        </w:tc>
      </w:tr>
      <w:tr>
        <w:trPr>
          <w:trHeight w:val="182"/>
        </w:trPr>
        <w:tc>
          <w:tcPr>
            <w:tcW w:w="6220" w:type="dxa"/>
            <w:vAlign w:val="bottom"/>
            <w:gridSpan w:val="4"/>
          </w:tcPr>
          <w:p>
            <w:pPr>
              <w:jc w:val="center"/>
              <w:ind w:right="1266"/>
              <w:spacing w:after="0"/>
              <w:rPr>
                <w:sz w:val="20"/>
                <w:szCs w:val="20"/>
                <w:color w:val="auto"/>
              </w:rPr>
            </w:pPr>
            <w:r>
              <w:rPr>
                <w:rFonts w:ascii="Times New Roman" w:cs="Times New Roman" w:eastAsia="Times New Roman" w:hAnsi="Times New Roman"/>
                <w:sz w:val="14"/>
                <w:szCs w:val="14"/>
                <w:color w:val="auto"/>
                <w:w w:val="99"/>
              </w:rPr>
              <w:t>(State or other jurisdiction of incorporation or organization)</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jc w:val="center"/>
              <w:ind w:right="142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550"/>
        </w:trPr>
        <w:tc>
          <w:tcPr>
            <w:tcW w:w="3540" w:type="dxa"/>
            <w:vAlign w:val="bottom"/>
          </w:tcPr>
          <w:p>
            <w:pPr>
              <w:jc w:val="center"/>
              <w:ind w:left="2186"/>
              <w:spacing w:after="0"/>
              <w:rPr>
                <w:sz w:val="20"/>
                <w:szCs w:val="20"/>
                <w:color w:val="auto"/>
              </w:rPr>
            </w:pPr>
            <w:r>
              <w:rPr>
                <w:rFonts w:ascii="Times New Roman" w:cs="Times New Roman" w:eastAsia="Times New Roman" w:hAnsi="Times New Roman"/>
                <w:sz w:val="14"/>
                <w:szCs w:val="14"/>
                <w:b w:val="1"/>
                <w:bCs w:val="1"/>
                <w:color w:val="auto"/>
                <w:w w:val="98"/>
              </w:rPr>
              <w:t>1633 Broadway</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196"/>
        </w:trPr>
        <w:tc>
          <w:tcPr>
            <w:tcW w:w="354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w w:val="97"/>
              </w:rPr>
              <w:t>New York, New York</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0" w:type="dxa"/>
            <w:vAlign w:val="bottom"/>
            <w:gridSpan w:val="3"/>
          </w:tcPr>
          <w:p>
            <w:pPr>
              <w:jc w:val="right"/>
              <w:ind w:right="2988"/>
              <w:spacing w:after="0"/>
              <w:rPr>
                <w:sz w:val="20"/>
                <w:szCs w:val="20"/>
                <w:color w:val="auto"/>
              </w:rPr>
            </w:pPr>
            <w:r>
              <w:rPr>
                <w:rFonts w:ascii="Times New Roman" w:cs="Times New Roman" w:eastAsia="Times New Roman" w:hAnsi="Times New Roman"/>
                <w:sz w:val="14"/>
                <w:szCs w:val="14"/>
                <w:b w:val="1"/>
                <w:bCs w:val="1"/>
                <w:color w:val="auto"/>
              </w:rPr>
              <w:t>10019</w:t>
            </w:r>
          </w:p>
        </w:tc>
      </w:tr>
      <w:tr>
        <w:trPr>
          <w:trHeight w:val="196"/>
        </w:trPr>
        <w:tc>
          <w:tcPr>
            <w:tcW w:w="6220" w:type="dxa"/>
            <w:vAlign w:val="bottom"/>
            <w:gridSpan w:val="4"/>
          </w:tcPr>
          <w:p>
            <w:pPr>
              <w:jc w:val="center"/>
              <w:ind w:right="326"/>
              <w:spacing w:after="0"/>
              <w:rPr>
                <w:sz w:val="20"/>
                <w:szCs w:val="20"/>
                <w:color w:val="auto"/>
              </w:rPr>
            </w:pPr>
            <w:r>
              <w:rPr>
                <w:rFonts w:ascii="Times New Roman" w:cs="Times New Roman" w:eastAsia="Times New Roman" w:hAnsi="Times New Roman"/>
                <w:sz w:val="14"/>
                <w:szCs w:val="14"/>
                <w:color w:val="auto"/>
                <w:w w:val="99"/>
              </w:rPr>
              <w:t>(Address of principal executive offices)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Pr>
          <w:p>
            <w:pPr>
              <w:jc w:val="center"/>
              <w:ind w:right="2328"/>
              <w:spacing w:after="0"/>
              <w:rPr>
                <w:sz w:val="20"/>
                <w:szCs w:val="20"/>
                <w:color w:val="auto"/>
              </w:rPr>
            </w:pPr>
            <w:r>
              <w:rPr>
                <w:rFonts w:ascii="Times New Roman" w:cs="Times New Roman" w:eastAsia="Times New Roman" w:hAnsi="Times New Roman"/>
                <w:sz w:val="14"/>
                <w:szCs w:val="14"/>
                <w:color w:val="auto"/>
              </w:rPr>
              <w:t>(Zip Code)</w:t>
            </w:r>
          </w:p>
        </w:tc>
      </w:tr>
      <w:tr>
        <w:trPr>
          <w:trHeight w:val="425"/>
        </w:trPr>
        <w:tc>
          <w:tcPr>
            <w:tcW w:w="3540" w:type="dxa"/>
            <w:vAlign w:val="bottom"/>
          </w:tcPr>
          <w:p>
            <w:pPr>
              <w:spacing w:after="0"/>
              <w:rPr>
                <w:sz w:val="24"/>
                <w:szCs w:val="24"/>
                <w:color w:val="auto"/>
              </w:rPr>
            </w:pPr>
          </w:p>
        </w:tc>
        <w:tc>
          <w:tcPr>
            <w:tcW w:w="2680" w:type="dxa"/>
            <w:vAlign w:val="bottom"/>
            <w:gridSpan w:val="3"/>
          </w:tcPr>
          <w:p>
            <w:pPr>
              <w:jc w:val="center"/>
              <w:ind w:left="655"/>
              <w:spacing w:after="0"/>
              <w:rPr>
                <w:sz w:val="20"/>
                <w:szCs w:val="20"/>
                <w:color w:val="auto"/>
              </w:rPr>
            </w:pPr>
            <w:r>
              <w:rPr>
                <w:rFonts w:ascii="Times New Roman" w:cs="Times New Roman" w:eastAsia="Times New Roman" w:hAnsi="Times New Roman"/>
                <w:sz w:val="16"/>
                <w:szCs w:val="16"/>
                <w:b w:val="1"/>
                <w:bCs w:val="1"/>
                <w:color w:val="auto"/>
                <w:w w:val="97"/>
              </w:rPr>
              <w:t>(212) 418-0100</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23"/>
        </w:trPr>
        <w:tc>
          <w:tcPr>
            <w:tcW w:w="3540" w:type="dxa"/>
            <w:vAlign w:val="bottom"/>
          </w:tcPr>
          <w:p>
            <w:pPr>
              <w:spacing w:after="0"/>
              <w:rPr>
                <w:sz w:val="19"/>
                <w:szCs w:val="19"/>
                <w:color w:val="auto"/>
              </w:rPr>
            </w:pPr>
          </w:p>
        </w:tc>
        <w:tc>
          <w:tcPr>
            <w:tcW w:w="7280" w:type="dxa"/>
            <w:vAlign w:val="bottom"/>
            <w:gridSpan w:val="6"/>
          </w:tcPr>
          <w:p>
            <w:pPr>
              <w:jc w:val="center"/>
              <w:ind w:right="3828"/>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r>
      <w:tr>
        <w:trPr>
          <w:trHeight w:val="223"/>
        </w:trPr>
        <w:tc>
          <w:tcPr>
            <w:tcW w:w="3540" w:type="dxa"/>
            <w:vAlign w:val="bottom"/>
          </w:tcPr>
          <w:p>
            <w:pPr>
              <w:spacing w:after="0"/>
              <w:rPr>
                <w:sz w:val="19"/>
                <w:szCs w:val="19"/>
                <w:color w:val="auto"/>
              </w:rPr>
            </w:pPr>
          </w:p>
        </w:tc>
        <w:tc>
          <w:tcPr>
            <w:tcW w:w="728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190"/>
        </w:trPr>
        <w:tc>
          <w:tcPr>
            <w:tcW w:w="354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ind w:left="346"/>
              <w:spacing w:after="0"/>
              <w:rPr>
                <w:sz w:val="20"/>
                <w:szCs w:val="20"/>
                <w:color w:val="auto"/>
              </w:rPr>
            </w:pPr>
            <w:r>
              <w:rPr>
                <w:rFonts w:ascii="Times New Roman" w:cs="Times New Roman" w:eastAsia="Times New Roman" w:hAnsi="Times New Roman"/>
                <w:sz w:val="14"/>
                <w:szCs w:val="14"/>
                <w:b w:val="1"/>
                <w:bCs w:val="1"/>
                <w:color w:val="auto"/>
                <w:w w:val="98"/>
              </w:rPr>
              <w:t>Trading symbol(s)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3"/>
        </w:trPr>
        <w:tc>
          <w:tcPr>
            <w:tcW w:w="3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$0.00001 per share</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ind w:left="346"/>
              <w:spacing w:after="0"/>
              <w:rPr>
                <w:sz w:val="20"/>
                <w:szCs w:val="20"/>
                <w:color w:val="auto"/>
              </w:rPr>
            </w:pPr>
            <w:r>
              <w:rPr>
                <w:rFonts w:ascii="Times New Roman" w:cs="Times New Roman" w:eastAsia="Times New Roman" w:hAnsi="Times New Roman"/>
                <w:sz w:val="16"/>
                <w:szCs w:val="16"/>
                <w:color w:val="auto"/>
                <w:w w:val="96"/>
              </w:rPr>
              <w:t>VIRT</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 LLC</w:t>
            </w:r>
          </w:p>
        </w:tc>
      </w:tr>
    </w:tbl>
    <w:p>
      <w:pPr>
        <w:spacing w:after="0" w:line="91" w:lineRule="exact"/>
        <w:rPr>
          <w:sz w:val="24"/>
          <w:szCs w:val="24"/>
          <w:color w:val="auto"/>
        </w:rPr>
      </w:pPr>
    </w:p>
    <w:p>
      <w:pPr>
        <w:jc w:val="both"/>
        <w:ind w:right="180" w:firstLine="314"/>
        <w:spacing w:after="0" w:line="270"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00" w:hanging="195"/>
        <w:spacing w:after="0" w:line="184" w:lineRule="exact"/>
        <w:tabs>
          <w:tab w:leader="none" w:pos="2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520" w:firstLine="314"/>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2" w:lineRule="exact"/>
        <w:rPr>
          <w:sz w:val="24"/>
          <w:szCs w:val="24"/>
          <w:color w:val="auto"/>
        </w:rPr>
      </w:pPr>
    </w:p>
    <w:p>
      <w:pPr>
        <w:ind w:right="260" w:firstLine="314"/>
        <w:spacing w:after="0" w:line="32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p>
      <w:pPr>
        <w:jc w:val="right"/>
        <w:ind w:left="1180" w:right="880"/>
        <w:spacing w:after="0" w:line="276"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24"/>
          <w:szCs w:val="24"/>
          <w:color w:val="auto"/>
          <w:vertAlign w:val="superscript"/>
        </w:rPr>
        <w:t>☒</w:t>
      </w:r>
      <w:r>
        <w:rPr>
          <w:rFonts w:ascii="Times New Roman" w:cs="Times New Roman" w:eastAsia="Times New Roman" w:hAnsi="Times New Roman"/>
          <w:sz w:val="14"/>
          <w:szCs w:val="14"/>
          <w:color w:val="auto"/>
        </w:rPr>
        <w:t xml:space="preserv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Emerging growth company </w:t>
      </w:r>
      <w:r>
        <w:rPr>
          <w:rFonts w:ascii="MS PGothic" w:cs="MS PGothic" w:eastAsia="MS PGothic" w:hAnsi="MS PGothic"/>
          <w:sz w:val="14"/>
          <w:szCs w:val="14"/>
          <w:color w:val="auto"/>
        </w:rPr>
        <w:t>☐</w:t>
      </w:r>
    </w:p>
    <w:p>
      <w:pPr>
        <w:spacing w:after="0" w:line="389" w:lineRule="exact"/>
        <w:rPr>
          <w:sz w:val="24"/>
          <w:szCs w:val="24"/>
          <w:color w:val="auto"/>
        </w:rPr>
      </w:pPr>
    </w:p>
    <w:p>
      <w:pPr>
        <w:ind w:right="100" w:firstLine="314"/>
        <w:spacing w:after="0" w:line="19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6"/>
          <w:szCs w:val="16"/>
          <w:color w:val="auto"/>
        </w:rPr>
        <w:t>☐</w:t>
      </w:r>
    </w:p>
    <w:p>
      <w:pPr>
        <w:spacing w:after="0" w:line="4"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tbl>
      <w:tblPr>
        <w:tblLayout w:type="fixed"/>
        <w:tblInd w:w="48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of Stock</w:t>
            </w:r>
          </w:p>
        </w:tc>
        <w:tc>
          <w:tcPr>
            <w:tcW w:w="20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Shares outstanding as of May 3,</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4400" w:type="dxa"/>
            <w:vAlign w:val="bottom"/>
            <w:gridSpan w:val="2"/>
            <w:vMerge w:val="continue"/>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80" w:type="dxa"/>
            <w:vAlign w:val="bottom"/>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common stock, par value $0.00001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105,336,188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18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Class C common stock, par value $0.00001 per share</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9,053,155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18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D common stock, par value $0.00001 per share</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60,091,740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180" w:type="dxa"/>
            <w:vAlign w:val="bottom"/>
            <w:tcBorders>
              <w:bottom w:val="single" w:sz="8" w:color="auto"/>
            </w:tcBorders>
          </w:tcPr>
          <w:p>
            <w:pPr>
              <w:spacing w:after="0"/>
              <w:rPr>
                <w:sz w:val="22"/>
                <w:szCs w:val="22"/>
                <w:color w:val="auto"/>
              </w:rPr>
            </w:pPr>
          </w:p>
        </w:tc>
        <w:tc>
          <w:tcPr>
            <w:tcW w:w="4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60"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INDEX TO FORM 10-Q</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 THE QUARTER ENDED March 31, 2022</w:t>
      </w: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1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8"/>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1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406"/>
        </w:trPr>
        <w:tc>
          <w:tcPr>
            <w:tcW w:w="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PART I -</w:t>
            </w:r>
          </w:p>
        </w:tc>
        <w:tc>
          <w:tcPr>
            <w:tcW w:w="760" w:type="dxa"/>
            <w:vAlign w:val="bottom"/>
            <w:gridSpan w:val="2"/>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FINANCIAL INFORMATION</w:t>
            </w:r>
          </w:p>
        </w:tc>
        <w:tc>
          <w:tcPr>
            <w:tcW w:w="1160" w:type="dxa"/>
            <w:vAlign w:val="bottom"/>
          </w:tcPr>
          <w:p>
            <w:pPr>
              <w:spacing w:after="0"/>
              <w:rPr>
                <w:sz w:val="24"/>
                <w:szCs w:val="24"/>
                <w:color w:val="auto"/>
              </w:rPr>
            </w:pPr>
          </w:p>
        </w:tc>
      </w:tr>
      <w:tr>
        <w:trPr>
          <w:trHeight w:val="425"/>
        </w:trPr>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1.</w:t>
            </w:r>
          </w:p>
        </w:tc>
        <w:tc>
          <w:tcPr>
            <w:tcW w:w="120" w:type="dxa"/>
            <w:vAlign w:val="bottom"/>
            <w:tcBorders>
              <w:top w:val="single" w:sz="8" w:color="0000FF"/>
            </w:tcBorders>
          </w:tcPr>
          <w:p>
            <w:pPr>
              <w:spacing w:after="0"/>
              <w:rPr>
                <w:sz w:val="24"/>
                <w:szCs w:val="24"/>
                <w:color w:val="auto"/>
              </w:rPr>
            </w:pPr>
          </w:p>
        </w:tc>
        <w:tc>
          <w:tcPr>
            <w:tcW w:w="760" w:type="dxa"/>
            <w:vAlign w:val="bottom"/>
            <w:gridSpan w:val="2"/>
          </w:tcPr>
          <w:p>
            <w:pPr>
              <w:spacing w:after="0"/>
              <w:rPr>
                <w:sz w:val="24"/>
                <w:szCs w:val="24"/>
                <w:color w:val="auto"/>
              </w:rPr>
            </w:pPr>
          </w:p>
        </w:tc>
        <w:tc>
          <w:tcPr>
            <w:tcW w:w="14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Financial Statements</w:t>
            </w:r>
          </w:p>
        </w:tc>
        <w:tc>
          <w:tcPr>
            <w:tcW w:w="720" w:type="dxa"/>
            <w:vAlign w:val="bottom"/>
            <w:tcBorders>
              <w:top w:val="single" w:sz="8" w:color="0000FF"/>
            </w:tcBorders>
            <w:gridSpan w:val="3"/>
          </w:tcPr>
          <w:p>
            <w:pPr>
              <w:spacing w:after="0"/>
              <w:rPr>
                <w:sz w:val="24"/>
                <w:szCs w:val="24"/>
                <w:color w:val="auto"/>
              </w:rPr>
            </w:pPr>
          </w:p>
        </w:tc>
        <w:tc>
          <w:tcPr>
            <w:tcW w:w="6380" w:type="dxa"/>
            <w:vAlign w:val="bottom"/>
            <w:gridSpan w:val="10"/>
          </w:tcPr>
          <w:p>
            <w:pPr>
              <w:spacing w:after="0"/>
              <w:rPr>
                <w:sz w:val="24"/>
                <w:szCs w:val="24"/>
                <w:color w:val="auto"/>
              </w:rPr>
            </w:pPr>
          </w:p>
        </w:tc>
        <w:tc>
          <w:tcPr>
            <w:tcW w:w="1160" w:type="dxa"/>
            <w:vAlign w:val="bottom"/>
          </w:tcPr>
          <w:p>
            <w:pPr>
              <w:spacing w:after="0"/>
              <w:rPr>
                <w:sz w:val="24"/>
                <w:szCs w:val="24"/>
                <w:color w:val="auto"/>
              </w:rPr>
            </w:pPr>
          </w:p>
        </w:tc>
      </w:tr>
      <w:tr>
        <w:trPr>
          <w:trHeight w:val="42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Financial Condition (Unaudited)</w:t>
            </w:r>
          </w:p>
        </w:tc>
        <w:tc>
          <w:tcPr>
            <w:tcW w:w="3500" w:type="dxa"/>
            <w:vAlign w:val="bottom"/>
            <w:gridSpan w:val="3"/>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w:t>
            </w:r>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(Unaudited)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w:t>
            </w:r>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96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Statements of Changes in Equity (Unaudited)</w:t>
            </w:r>
          </w:p>
        </w:tc>
        <w:tc>
          <w:tcPr>
            <w:tcW w:w="360" w:type="dxa"/>
            <w:vAlign w:val="bottom"/>
            <w:tcBorders>
              <w:top w:val="single" w:sz="8" w:color="0000FF"/>
            </w:tcBorders>
            <w:gridSpan w:val="2"/>
          </w:tcPr>
          <w:p>
            <w:pPr>
              <w:spacing w:after="0"/>
              <w:rPr>
                <w:sz w:val="17"/>
                <w:szCs w:val="17"/>
                <w:color w:val="auto"/>
              </w:rPr>
            </w:pPr>
          </w:p>
        </w:tc>
        <w:tc>
          <w:tcPr>
            <w:tcW w:w="3240" w:type="dxa"/>
            <w:vAlign w:val="bottom"/>
            <w:gridSpan w:val="2"/>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w:t>
            </w:r>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w:t>
            </w: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7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3800" w:type="dxa"/>
            <w:vAlign w:val="bottom"/>
            <w:gridSpan w:val="5"/>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w:t>
            </w:r>
          </w:p>
        </w:tc>
      </w:tr>
      <w:tr>
        <w:trPr>
          <w:trHeight w:val="425"/>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Item 2.</w:t>
            </w:r>
          </w:p>
        </w:tc>
        <w:tc>
          <w:tcPr>
            <w:tcW w:w="880" w:type="dxa"/>
            <w:vAlign w:val="bottom"/>
            <w:gridSpan w:val="3"/>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42</w:t>
            </w:r>
          </w:p>
        </w:tc>
      </w:tr>
      <w:tr>
        <w:trPr>
          <w:trHeight w:val="425"/>
        </w:trPr>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3.</w:t>
            </w:r>
          </w:p>
        </w:tc>
        <w:tc>
          <w:tcPr>
            <w:tcW w:w="880" w:type="dxa"/>
            <w:vAlign w:val="bottom"/>
            <w:gridSpan w:val="3"/>
          </w:tcPr>
          <w:p>
            <w:pPr>
              <w:spacing w:after="0"/>
              <w:rPr>
                <w:sz w:val="24"/>
                <w:szCs w:val="24"/>
                <w:color w:val="auto"/>
              </w:rPr>
            </w:pPr>
          </w:p>
        </w:tc>
        <w:tc>
          <w:tcPr>
            <w:tcW w:w="42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20" w:type="dxa"/>
            <w:vAlign w:val="bottom"/>
            <w:tcBorders>
              <w:top w:val="single" w:sz="8" w:color="0000FF"/>
            </w:tcBorders>
            <w:gridSpan w:val="6"/>
          </w:tcPr>
          <w:p>
            <w:pPr>
              <w:spacing w:after="0"/>
              <w:rPr>
                <w:sz w:val="24"/>
                <w:szCs w:val="24"/>
                <w:color w:val="auto"/>
              </w:rPr>
            </w:pPr>
          </w:p>
        </w:tc>
        <w:tc>
          <w:tcPr>
            <w:tcW w:w="2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67</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4.</w:t>
            </w:r>
          </w:p>
        </w:tc>
        <w:tc>
          <w:tcPr>
            <w:tcW w:w="880" w:type="dxa"/>
            <w:vAlign w:val="bottom"/>
            <w:gridSpan w:val="3"/>
          </w:tcPr>
          <w:p>
            <w:pPr>
              <w:spacing w:after="0"/>
              <w:rPr>
                <w:sz w:val="24"/>
                <w:szCs w:val="24"/>
                <w:color w:val="auto"/>
              </w:rPr>
            </w:pPr>
          </w:p>
        </w:tc>
        <w:tc>
          <w:tcPr>
            <w:tcW w:w="1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6840" w:type="dxa"/>
            <w:vAlign w:val="bottom"/>
            <w:gridSpan w:val="12"/>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69</w:t>
            </w:r>
          </w:p>
        </w:tc>
      </w:tr>
      <w:tr>
        <w:trPr>
          <w:trHeight w:val="425"/>
        </w:trPr>
        <w:tc>
          <w:tcPr>
            <w:tcW w:w="7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PART II -</w:t>
            </w:r>
          </w:p>
        </w:tc>
        <w:tc>
          <w:tcPr>
            <w:tcW w:w="700" w:type="dxa"/>
            <w:vAlign w:val="bottom"/>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1160" w:type="dxa"/>
            <w:vAlign w:val="bottom"/>
          </w:tcPr>
          <w:p>
            <w:pPr>
              <w:spacing w:after="0"/>
              <w:rPr>
                <w:sz w:val="24"/>
                <w:szCs w:val="24"/>
                <w:color w:val="auto"/>
              </w:rPr>
            </w:pPr>
          </w:p>
        </w:tc>
      </w:tr>
      <w:tr>
        <w:trPr>
          <w:trHeight w:val="425"/>
        </w:trPr>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1.</w:t>
            </w:r>
          </w:p>
        </w:tc>
        <w:tc>
          <w:tcPr>
            <w:tcW w:w="180" w:type="dxa"/>
            <w:vAlign w:val="bottom"/>
            <w:tcBorders>
              <w:top w:val="single" w:sz="8" w:color="0000FF"/>
            </w:tcBorders>
            <w:gridSpan w:val="2"/>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520" w:type="dxa"/>
            <w:vAlign w:val="bottom"/>
            <w:tcBorders>
              <w:top w:val="single" w:sz="8" w:color="0000FF"/>
            </w:tcBorders>
            <w:gridSpan w:val="3"/>
          </w:tcPr>
          <w:p>
            <w:pPr>
              <w:spacing w:after="0"/>
              <w:rPr>
                <w:sz w:val="24"/>
                <w:szCs w:val="24"/>
                <w:color w:val="auto"/>
              </w:rPr>
            </w:pPr>
          </w:p>
        </w:tc>
        <w:tc>
          <w:tcPr>
            <w:tcW w:w="6740" w:type="dxa"/>
            <w:vAlign w:val="bottom"/>
            <w:gridSpan w:val="11"/>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w:t>
            </w:r>
          </w:p>
        </w:tc>
      </w:tr>
      <w:tr>
        <w:trPr>
          <w:trHeight w:val="425"/>
        </w:trPr>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Item 1A.</w:t>
            </w:r>
          </w:p>
        </w:tc>
        <w:tc>
          <w:tcPr>
            <w:tcW w:w="760" w:type="dxa"/>
            <w:vAlign w:val="bottom"/>
            <w:gridSpan w:val="2"/>
          </w:tcPr>
          <w:p>
            <w:pPr>
              <w:spacing w:after="0"/>
              <w:rPr>
                <w:sz w:val="24"/>
                <w:szCs w:val="24"/>
                <w:color w:val="auto"/>
              </w:rPr>
            </w:pPr>
          </w:p>
        </w:tc>
        <w:tc>
          <w:tcPr>
            <w:tcW w:w="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7680" w:type="dxa"/>
            <w:vAlign w:val="bottom"/>
            <w:gridSpan w:val="17"/>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2.</w:t>
            </w:r>
          </w:p>
        </w:tc>
        <w:tc>
          <w:tcPr>
            <w:tcW w:w="880" w:type="dxa"/>
            <w:vAlign w:val="bottom"/>
            <w:gridSpan w:val="3"/>
          </w:tcPr>
          <w:p>
            <w:pPr>
              <w:spacing w:after="0"/>
              <w:rPr>
                <w:sz w:val="24"/>
                <w:szCs w:val="24"/>
                <w:color w:val="auto"/>
              </w:rPr>
            </w:pPr>
          </w:p>
        </w:tc>
        <w:tc>
          <w:tcPr>
            <w:tcW w:w="42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4340" w:type="dxa"/>
            <w:vAlign w:val="bottom"/>
            <w:gridSpan w:val="8"/>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3.</w:t>
            </w:r>
          </w:p>
        </w:tc>
        <w:tc>
          <w:tcPr>
            <w:tcW w:w="880" w:type="dxa"/>
            <w:vAlign w:val="bottom"/>
            <w:gridSpan w:val="3"/>
          </w:tcPr>
          <w:p>
            <w:pPr>
              <w:spacing w:after="0"/>
              <w:rPr>
                <w:sz w:val="24"/>
                <w:szCs w:val="24"/>
                <w:color w:val="auto"/>
              </w:rPr>
            </w:pPr>
          </w:p>
        </w:tc>
        <w:tc>
          <w:tcPr>
            <w:tcW w:w="2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6300" w:type="dxa"/>
            <w:vAlign w:val="bottom"/>
            <w:gridSpan w:val="9"/>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4.</w:t>
            </w:r>
          </w:p>
        </w:tc>
        <w:tc>
          <w:tcPr>
            <w:tcW w:w="880" w:type="dxa"/>
            <w:vAlign w:val="bottom"/>
            <w:gridSpan w:val="3"/>
          </w:tcPr>
          <w:p>
            <w:pPr>
              <w:spacing w:after="0"/>
              <w:rPr>
                <w:sz w:val="24"/>
                <w:szCs w:val="24"/>
                <w:color w:val="auto"/>
              </w:rPr>
            </w:pPr>
          </w:p>
        </w:tc>
        <w:tc>
          <w:tcPr>
            <w:tcW w:w="1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6840" w:type="dxa"/>
            <w:vAlign w:val="bottom"/>
            <w:gridSpan w:val="12"/>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5.</w:t>
            </w:r>
          </w:p>
        </w:tc>
        <w:tc>
          <w:tcPr>
            <w:tcW w:w="880" w:type="dxa"/>
            <w:vAlign w:val="bottom"/>
            <w:gridSpan w:val="3"/>
          </w:tcPr>
          <w:p>
            <w:pPr>
              <w:spacing w:after="0"/>
              <w:rPr>
                <w:sz w:val="24"/>
                <w:szCs w:val="24"/>
                <w:color w:val="auto"/>
              </w:rPr>
            </w:pPr>
          </w:p>
        </w:tc>
        <w:tc>
          <w:tcPr>
            <w:tcW w:w="1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280" w:type="dxa"/>
            <w:vAlign w:val="bottom"/>
            <w:gridSpan w:val="15"/>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6.</w:t>
            </w:r>
          </w:p>
        </w:tc>
        <w:tc>
          <w:tcPr>
            <w:tcW w:w="880" w:type="dxa"/>
            <w:vAlign w:val="bottom"/>
            <w:gridSpan w:val="3"/>
          </w:tcPr>
          <w:p>
            <w:pPr>
              <w:spacing w:after="0"/>
              <w:rPr>
                <w:sz w:val="24"/>
                <w:szCs w:val="24"/>
                <w:color w:val="auto"/>
              </w:rPr>
            </w:pPr>
          </w:p>
        </w:tc>
        <w:tc>
          <w:tcPr>
            <w:tcW w:w="5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8"/>
              </w:rPr>
              <w:t>Exhibits</w:t>
            </w:r>
          </w:p>
        </w:tc>
        <w:tc>
          <w:tcPr>
            <w:tcW w:w="7980" w:type="dxa"/>
            <w:vAlign w:val="bottom"/>
            <w:gridSpan w:val="18"/>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w:t>
            </w:r>
          </w:p>
        </w:tc>
      </w:tr>
      <w:tr>
        <w:trPr>
          <w:trHeight w:val="42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72</w:t>
            </w: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Index to Condensed Consolidated Financial Statements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2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0"/>
        </w:trPr>
        <w:tc>
          <w:tcPr>
            <w:tcW w:w="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2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91"/>
        </w:trPr>
        <w:tc>
          <w:tcPr>
            <w:tcW w:w="40" w:type="dxa"/>
            <w:vAlign w:val="bottom"/>
          </w:tcPr>
          <w:p>
            <w:pPr>
              <w:spacing w:after="0"/>
              <w:rPr>
                <w:sz w:val="24"/>
                <w:szCs w:val="24"/>
                <w:color w:val="auto"/>
              </w:rPr>
            </w:pPr>
          </w:p>
        </w:tc>
        <w:tc>
          <w:tcPr>
            <w:tcW w:w="54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Condensed Consolidated Statements of Financial Condition (Unaudited)</w:t>
            </w:r>
          </w:p>
        </w:tc>
        <w:tc>
          <w:tcPr>
            <w:tcW w:w="57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3</w:t>
            </w:r>
          </w:p>
        </w:tc>
      </w:tr>
      <w:tr>
        <w:trPr>
          <w:trHeight w:val="20"/>
        </w:trPr>
        <w:tc>
          <w:tcPr>
            <w:tcW w:w="4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53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(Unaudited)</w:t>
            </w:r>
          </w:p>
        </w:tc>
        <w:tc>
          <w:tcPr>
            <w:tcW w:w="100" w:type="dxa"/>
            <w:vAlign w:val="bottom"/>
          </w:tcPr>
          <w:p>
            <w:pPr>
              <w:spacing w:after="0"/>
              <w:rPr>
                <w:sz w:val="24"/>
                <w:szCs w:val="24"/>
                <w:color w:val="auto"/>
              </w:rPr>
            </w:pPr>
          </w:p>
        </w:tc>
        <w:tc>
          <w:tcPr>
            <w:tcW w:w="57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5</w:t>
            </w:r>
          </w:p>
        </w:tc>
      </w:tr>
      <w:tr>
        <w:trPr>
          <w:trHeight w:val="20"/>
        </w:trPr>
        <w:tc>
          <w:tcPr>
            <w:tcW w:w="4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53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Condensed Consolidated Statements of Changes in Equity (Unaudited)</w:t>
            </w:r>
          </w:p>
        </w:tc>
        <w:tc>
          <w:tcPr>
            <w:tcW w:w="100" w:type="dxa"/>
            <w:vAlign w:val="bottom"/>
          </w:tcPr>
          <w:p>
            <w:pPr>
              <w:spacing w:after="0"/>
              <w:rPr>
                <w:sz w:val="24"/>
                <w:szCs w:val="24"/>
                <w:color w:val="auto"/>
              </w:rPr>
            </w:pPr>
          </w:p>
        </w:tc>
        <w:tc>
          <w:tcPr>
            <w:tcW w:w="57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6</w:t>
            </w:r>
          </w:p>
        </w:tc>
      </w:tr>
      <w:tr>
        <w:trPr>
          <w:trHeight w:val="20"/>
        </w:trPr>
        <w:tc>
          <w:tcPr>
            <w:tcW w:w="4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w:t>
            </w:r>
          </w:p>
        </w:tc>
        <w:tc>
          <w:tcPr>
            <w:tcW w:w="460" w:type="dxa"/>
            <w:vAlign w:val="bottom"/>
            <w:gridSpan w:val="2"/>
          </w:tcPr>
          <w:p>
            <w:pPr>
              <w:spacing w:after="0"/>
              <w:rPr>
                <w:sz w:val="24"/>
                <w:szCs w:val="24"/>
                <w:color w:val="auto"/>
              </w:rPr>
            </w:pPr>
          </w:p>
        </w:tc>
        <w:tc>
          <w:tcPr>
            <w:tcW w:w="480" w:type="dxa"/>
            <w:vAlign w:val="bottom"/>
            <w:gridSpan w:val="3"/>
          </w:tcPr>
          <w:p>
            <w:pPr>
              <w:spacing w:after="0"/>
              <w:rPr>
                <w:sz w:val="24"/>
                <w:szCs w:val="24"/>
                <w:color w:val="auto"/>
              </w:rPr>
            </w:pPr>
          </w:p>
        </w:tc>
        <w:tc>
          <w:tcPr>
            <w:tcW w:w="57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7</w:t>
            </w:r>
          </w:p>
        </w:tc>
      </w:tr>
      <w:tr>
        <w:trPr>
          <w:trHeight w:val="20"/>
        </w:trPr>
        <w:tc>
          <w:tcPr>
            <w:tcW w:w="4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54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57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9</w:t>
            </w:r>
          </w:p>
        </w:tc>
      </w:tr>
      <w:tr>
        <w:trPr>
          <w:trHeight w:val="870"/>
        </w:trPr>
        <w:tc>
          <w:tcPr>
            <w:tcW w:w="40" w:type="dxa"/>
            <w:vAlign w:val="bottom"/>
          </w:tcPr>
          <w:p>
            <w:pPr>
              <w:spacing w:after="0"/>
              <w:rPr>
                <w:sz w:val="24"/>
                <w:szCs w:val="24"/>
                <w:color w:val="auto"/>
              </w:rPr>
            </w:pPr>
          </w:p>
        </w:tc>
        <w:tc>
          <w:tcPr>
            <w:tcW w:w="45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tcPr>
          <w:p>
            <w:pPr>
              <w:jc w:val="right"/>
              <w:ind w:right="4273"/>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45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5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Financial Condition (Unaudited)</w:t>
      </w:r>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tc>
        <w:tc>
          <w:tcPr>
            <w:tcW w:w="20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9"/>
        </w:trPr>
        <w:tc>
          <w:tcPr>
            <w:tcW w:w="85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3"/>
        </w:trPr>
        <w:tc>
          <w:tcPr>
            <w:tcW w:w="8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564,900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1,071,463</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Cash restricted or segregated under regulations and other</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49,490</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borrowed</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1,700,224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1,349,322</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Securities purchased under agreements to resell</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119,453</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from broker-dealers and clearing organizations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1,501,948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1,026,807</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Trading assets, at fair value:</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Financial instruments owned</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4,833,178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3,238,995</w:t>
            </w:r>
          </w:p>
        </w:tc>
        <w:tc>
          <w:tcPr>
            <w:tcW w:w="0" w:type="dxa"/>
            <w:vAlign w:val="bottom"/>
          </w:tcPr>
          <w:p>
            <w:pPr>
              <w:spacing w:after="0"/>
              <w:rPr>
                <w:sz w:val="1"/>
                <w:szCs w:val="1"/>
                <w:color w:val="auto"/>
              </w:rPr>
            </w:pPr>
          </w:p>
        </w:tc>
      </w:tr>
      <w:tr>
        <w:trPr>
          <w:trHeight w:val="208"/>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Financial instruments owned and pledged</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1,137,134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1,017,960</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from customers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146,476</w:t>
            </w:r>
          </w:p>
        </w:tc>
        <w:tc>
          <w:tcPr>
            <w:tcW w:w="0" w:type="dxa"/>
            <w:vAlign w:val="bottom"/>
          </w:tcPr>
          <w:p>
            <w:pPr>
              <w:spacing w:after="0"/>
              <w:rPr>
                <w:sz w:val="1"/>
                <w:szCs w:val="1"/>
                <w:color w:val="auto"/>
              </w:rPr>
            </w:pPr>
          </w:p>
        </w:tc>
      </w:tr>
      <w:tr>
        <w:trPr>
          <w:trHeight w:val="157"/>
        </w:trPr>
        <w:tc>
          <w:tcPr>
            <w:tcW w:w="856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w w:val="99"/>
              </w:rPr>
              <w:t>Property, equipment and capitalized software (net of accumulated depreciation of $485,626 and $472,155 as of March 31, 2022 and</w:t>
            </w:r>
          </w:p>
        </w:tc>
        <w:tc>
          <w:tcPr>
            <w:tcW w:w="2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90,031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89,595</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December 31, 2021, respectively)</w:t>
            </w: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225,328</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1,148,926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1,148,926</w:t>
            </w:r>
          </w:p>
        </w:tc>
        <w:tc>
          <w:tcPr>
            <w:tcW w:w="0" w:type="dxa"/>
            <w:vAlign w:val="bottom"/>
          </w:tcPr>
          <w:p>
            <w:pPr>
              <w:spacing w:after="0"/>
              <w:rPr>
                <w:sz w:val="1"/>
                <w:szCs w:val="1"/>
                <w:color w:val="auto"/>
              </w:rPr>
            </w:pPr>
          </w:p>
        </w:tc>
      </w:tr>
      <w:tr>
        <w:trPr>
          <w:trHeight w:val="159"/>
        </w:trPr>
        <w:tc>
          <w:tcPr>
            <w:tcW w:w="8560" w:type="dxa"/>
            <w:vAlign w:val="bottom"/>
            <w:gridSpan w:val="2"/>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Intangibles (net of accumulated amortization of $269,642 and $253,161 as of March 31, 2022 and December 31, 2021,</w:t>
            </w:r>
          </w:p>
        </w:tc>
        <w:tc>
          <w:tcPr>
            <w:tcW w:w="2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369,851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386,332</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2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tax assets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158,518</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 ($87,484 and $84,378, at fair value, as of March 31, 2022 and December 31, 2021, respectively)</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268,554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291,306</w:t>
            </w:r>
          </w:p>
        </w:tc>
        <w:tc>
          <w:tcPr>
            <w:tcW w:w="0" w:type="dxa"/>
            <w:vAlign w:val="bottom"/>
          </w:tcPr>
          <w:p>
            <w:pPr>
              <w:spacing w:after="0"/>
              <w:rPr>
                <w:sz w:val="1"/>
                <w:szCs w:val="1"/>
                <w:color w:val="auto"/>
              </w:rPr>
            </w:pPr>
          </w:p>
        </w:tc>
      </w:tr>
      <w:tr>
        <w:trPr>
          <w:trHeight w:val="204"/>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12,519,088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10,319,971</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Short-term borrowings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140,782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61,510</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loaned</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1,268,377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1,142,048</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549,707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514,325</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Payables to broker-dealers and clearing organizations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934,722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571,526</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Payables to customers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54,999</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Trading liabilities, at fair value: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Financial instruments sold, not yet purchased</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5,104,999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3,510,779</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receivable agreement obligations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259,282</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457,942</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278,745</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borrowings</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1,794,200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1,605,132</w:t>
            </w:r>
          </w:p>
        </w:tc>
        <w:tc>
          <w:tcPr>
            <w:tcW w:w="0" w:type="dxa"/>
            <w:vAlign w:val="bottom"/>
          </w:tcPr>
          <w:p>
            <w:pPr>
              <w:spacing w:after="0"/>
              <w:rPr>
                <w:sz w:val="1"/>
                <w:szCs w:val="1"/>
                <w:color w:val="auto"/>
              </w:rPr>
            </w:pPr>
          </w:p>
        </w:tc>
      </w:tr>
      <w:tr>
        <w:trPr>
          <w:trHeight w:val="201"/>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10,820,346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8,456,353</w:t>
            </w:r>
          </w:p>
        </w:tc>
        <w:tc>
          <w:tcPr>
            <w:tcW w:w="0" w:type="dxa"/>
            <w:vAlign w:val="bottom"/>
          </w:tcPr>
          <w:p>
            <w:pPr>
              <w:spacing w:after="0"/>
              <w:rPr>
                <w:sz w:val="1"/>
                <w:szCs w:val="1"/>
                <w:color w:val="auto"/>
              </w:rPr>
            </w:pPr>
          </w:p>
        </w:tc>
      </w:tr>
      <w:tr>
        <w:trPr>
          <w:trHeight w:val="159"/>
        </w:trPr>
        <w:tc>
          <w:tcPr>
            <w:tcW w:w="8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Virtu Financial Inc. Stockholders' equity</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560" w:type="dxa"/>
            <w:vAlign w:val="bottom"/>
            <w:gridSpan w:val="2"/>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Class A common stock (par value $0.00001), Authorized — 1,000,000,000 and 1,000,000,000 shares, Issued — 132,872,351 and</w:t>
            </w:r>
          </w:p>
        </w:tc>
        <w:tc>
          <w:tcPr>
            <w:tcW w:w="2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131,497,645 shares, Outstanding — 105,636,944 and 113,170,782 shares at March 31, 2022 and December 31, 2021, respectively</w:t>
            </w:r>
          </w:p>
        </w:tc>
        <w:tc>
          <w:tcPr>
            <w:tcW w:w="2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856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w w:val="99"/>
              </w:rPr>
              <w:t>Class B common stock (par value $0.00001), Authorized — 175,000,000 and 175,000,000 shares, Issued and Outstanding — 0 and</w:t>
            </w:r>
          </w:p>
        </w:tc>
        <w:tc>
          <w:tcPr>
            <w:tcW w:w="200" w:type="dxa"/>
            <w:vAlign w:val="bottom"/>
          </w:tcPr>
          <w:p>
            <w:pPr>
              <w:spacing w:after="0"/>
              <w:rPr>
                <w:sz w:val="13"/>
                <w:szCs w:val="13"/>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0 shares at March 31, 2022 and December 31, 2021, respectively</w:t>
            </w: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560" w:type="dxa"/>
            <w:vAlign w:val="bottom"/>
            <w:gridSpan w:val="2"/>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Class C common stock (par value $0.00001), Authorized — 90,000,000 and 90,000,000 shares, Issued and Outstanding —</w:t>
            </w:r>
          </w:p>
        </w:tc>
        <w:tc>
          <w:tcPr>
            <w:tcW w:w="2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9,053,155 and 9,359,065 shares at March 31, 2022 and December 31, 2021, respectively</w:t>
            </w:r>
          </w:p>
        </w:tc>
        <w:tc>
          <w:tcPr>
            <w:tcW w:w="2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856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rPr>
              <w:t>Class D common stock (par value $0.00001), Authorized — 175,000,000 and 175,000,000 shares, Issued and Outstanding —</w:t>
            </w:r>
          </w:p>
        </w:tc>
        <w:tc>
          <w:tcPr>
            <w:tcW w:w="2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60,091,740 and 60,091,740 shares at March 31, 2022 and December 31, 2021, respectively</w:t>
            </w: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at cost, 27,235,407 and 18,326,863 shares at March 31, 2022 and December 31, 2021, respectively</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(781,286)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(494,075)</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1,246,983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1,223,119</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897,387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830,538</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Financial Condition (Unaudited)</w:t>
      </w:r>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9"/>
        </w:trPr>
        <w:tc>
          <w:tcPr>
            <w:tcW w:w="84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Virtu Financial Inc. stockholders' equity</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1,379,105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1,549,388</w:t>
            </w:r>
          </w:p>
        </w:tc>
        <w:tc>
          <w:tcPr>
            <w:tcW w:w="0" w:type="dxa"/>
            <w:vAlign w:val="bottom"/>
          </w:tcPr>
          <w:p>
            <w:pPr>
              <w:spacing w:after="0"/>
              <w:rPr>
                <w:sz w:val="1"/>
                <w:szCs w:val="1"/>
                <w:color w:val="auto"/>
              </w:rPr>
            </w:pPr>
          </w:p>
        </w:tc>
      </w:tr>
      <w:tr>
        <w:trPr>
          <w:trHeight w:val="213"/>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319,637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314,230</w:t>
            </w:r>
          </w:p>
        </w:tc>
        <w:tc>
          <w:tcPr>
            <w:tcW w:w="0" w:type="dxa"/>
            <w:vAlign w:val="bottom"/>
          </w:tcPr>
          <w:p>
            <w:pPr>
              <w:spacing w:after="0"/>
              <w:rPr>
                <w:sz w:val="1"/>
                <w:szCs w:val="1"/>
                <w:color w:val="auto"/>
              </w:rPr>
            </w:pPr>
          </w:p>
        </w:tc>
      </w:tr>
      <w:tr>
        <w:trPr>
          <w:trHeight w:val="201"/>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1,698,742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1,863,618</w:t>
            </w: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12,519,088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10,319,971</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(Unaudited).</w:t>
      </w: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 (Loss) (Unaudited)</w:t>
      </w:r>
    </w:p>
    <w:p>
      <w:pPr>
        <w:spacing w:after="0" w:line="317" w:lineRule="exact"/>
        <w:rPr>
          <w:sz w:val="20"/>
          <w:szCs w:val="20"/>
          <w:color w:val="auto"/>
        </w:rPr>
      </w:pPr>
    </w:p>
    <w:tbl>
      <w:tblPr>
        <w:tblLayout w:type="fixed"/>
        <w:tblInd w:w="144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4"/>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3"/>
        </w:trPr>
        <w:tc>
          <w:tcPr>
            <w:tcW w:w="5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Trading income,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522,307</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812,743</w:t>
            </w:r>
          </w:p>
        </w:tc>
        <w:tc>
          <w:tcPr>
            <w:tcW w:w="0" w:type="dxa"/>
            <w:vAlign w:val="bottom"/>
          </w:tcPr>
          <w:p>
            <w:pPr>
              <w:spacing w:after="0"/>
              <w:rPr>
                <w:sz w:val="1"/>
                <w:szCs w:val="1"/>
                <w:color w:val="auto"/>
              </w:rPr>
            </w:pPr>
          </w:p>
        </w:tc>
      </w:tr>
      <w:tr>
        <w:trPr>
          <w:trHeight w:val="211"/>
        </w:trPr>
        <w:tc>
          <w:tcPr>
            <w:tcW w:w="6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and dividends income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6,997</w:t>
            </w:r>
          </w:p>
        </w:tc>
        <w:tc>
          <w:tcPr>
            <w:tcW w:w="0" w:type="dxa"/>
            <w:vAlign w:val="bottom"/>
          </w:tcPr>
          <w:p>
            <w:pPr>
              <w:spacing w:after="0"/>
              <w:rPr>
                <w:sz w:val="1"/>
                <w:szCs w:val="1"/>
                <w:color w:val="auto"/>
              </w:rPr>
            </w:pPr>
          </w:p>
        </w:tc>
      </w:tr>
      <w:tr>
        <w:trPr>
          <w:trHeight w:val="208"/>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Commissions, net and technology services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191,649</w:t>
            </w:r>
          </w:p>
        </w:tc>
        <w:tc>
          <w:tcPr>
            <w:tcW w:w="0" w:type="dxa"/>
            <w:vAlign w:val="bottom"/>
          </w:tcPr>
          <w:p>
            <w:pPr>
              <w:spacing w:after="0"/>
              <w:rPr>
                <w:sz w:val="1"/>
                <w:szCs w:val="1"/>
                <w:color w:val="auto"/>
              </w:rPr>
            </w:pPr>
          </w:p>
        </w:tc>
      </w:tr>
      <w:tr>
        <w:trPr>
          <w:trHeight w:val="211"/>
        </w:trPr>
        <w:tc>
          <w:tcPr>
            <w:tcW w:w="6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0" w:type="dxa"/>
            <w:vAlign w:val="bottom"/>
          </w:tcPr>
          <w:p>
            <w:pPr>
              <w:spacing w:after="0"/>
              <w:rPr>
                <w:sz w:val="1"/>
                <w:szCs w:val="1"/>
                <w:color w:val="auto"/>
              </w:rPr>
            </w:pPr>
          </w:p>
        </w:tc>
      </w:tr>
      <w:tr>
        <w:trPr>
          <w:trHeight w:val="201"/>
        </w:trPr>
        <w:tc>
          <w:tcPr>
            <w:tcW w:w="6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701,262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1,012,572</w:t>
            </w:r>
          </w:p>
        </w:tc>
        <w:tc>
          <w:tcPr>
            <w:tcW w:w="0" w:type="dxa"/>
            <w:vAlign w:val="bottom"/>
          </w:tcPr>
          <w:p>
            <w:pPr>
              <w:spacing w:after="0"/>
              <w:rPr>
                <w:sz w:val="1"/>
                <w:szCs w:val="1"/>
                <w:color w:val="auto"/>
              </w:rPr>
            </w:pPr>
          </w:p>
        </w:tc>
      </w:tr>
      <w:tr>
        <w:trPr>
          <w:trHeight w:val="211"/>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Brokerage, exchange, clearance fees and payments for order flow, net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259,332</w:t>
            </w:r>
          </w:p>
        </w:tc>
        <w:tc>
          <w:tcPr>
            <w:tcW w:w="0" w:type="dxa"/>
            <w:vAlign w:val="bottom"/>
          </w:tcPr>
          <w:p>
            <w:pPr>
              <w:spacing w:after="0"/>
              <w:rPr>
                <w:sz w:val="1"/>
                <w:szCs w:val="1"/>
                <w:color w:val="auto"/>
              </w:rPr>
            </w:pPr>
          </w:p>
        </w:tc>
      </w:tr>
      <w:tr>
        <w:trPr>
          <w:trHeight w:val="208"/>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Communication and data processing</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51,690</w:t>
            </w:r>
          </w:p>
        </w:tc>
        <w:tc>
          <w:tcPr>
            <w:tcW w:w="0" w:type="dxa"/>
            <w:vAlign w:val="bottom"/>
          </w:tcPr>
          <w:p>
            <w:pPr>
              <w:spacing w:after="0"/>
              <w:rPr>
                <w:sz w:val="1"/>
                <w:szCs w:val="1"/>
                <w:color w:val="auto"/>
              </w:rPr>
            </w:pPr>
          </w:p>
        </w:tc>
      </w:tr>
      <w:tr>
        <w:trPr>
          <w:trHeight w:val="211"/>
        </w:trPr>
        <w:tc>
          <w:tcPr>
            <w:tcW w:w="6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Employee compensation and payroll taxes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104,771</w:t>
            </w:r>
          </w:p>
        </w:tc>
        <w:tc>
          <w:tcPr>
            <w:tcW w:w="0" w:type="dxa"/>
            <w:vAlign w:val="bottom"/>
          </w:tcPr>
          <w:p>
            <w:pPr>
              <w:spacing w:after="0"/>
              <w:rPr>
                <w:sz w:val="1"/>
                <w:szCs w:val="1"/>
                <w:color w:val="auto"/>
              </w:rPr>
            </w:pPr>
          </w:p>
        </w:tc>
      </w:tr>
      <w:tr>
        <w:trPr>
          <w:trHeight w:val="208"/>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Interest and dividends expense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24,028</w:t>
            </w:r>
          </w:p>
        </w:tc>
        <w:tc>
          <w:tcPr>
            <w:tcW w:w="0" w:type="dxa"/>
            <w:vAlign w:val="bottom"/>
          </w:tcPr>
          <w:p>
            <w:pPr>
              <w:spacing w:after="0"/>
              <w:rPr>
                <w:sz w:val="1"/>
                <w:szCs w:val="1"/>
                <w:color w:val="auto"/>
              </w:rPr>
            </w:pPr>
          </w:p>
        </w:tc>
      </w:tr>
      <w:tr>
        <w:trPr>
          <w:trHeight w:val="211"/>
        </w:trPr>
        <w:tc>
          <w:tcPr>
            <w:tcW w:w="6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Operations and administrative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25,655</w:t>
            </w:r>
          </w:p>
        </w:tc>
        <w:tc>
          <w:tcPr>
            <w:tcW w:w="0" w:type="dxa"/>
            <w:vAlign w:val="bottom"/>
          </w:tcPr>
          <w:p>
            <w:pPr>
              <w:spacing w:after="0"/>
              <w:rPr>
                <w:sz w:val="1"/>
                <w:szCs w:val="1"/>
                <w:color w:val="auto"/>
              </w:rPr>
            </w:pPr>
          </w:p>
        </w:tc>
      </w:tr>
      <w:tr>
        <w:trPr>
          <w:trHeight w:val="208"/>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16,778</w:t>
            </w:r>
          </w:p>
        </w:tc>
        <w:tc>
          <w:tcPr>
            <w:tcW w:w="0" w:type="dxa"/>
            <w:vAlign w:val="bottom"/>
          </w:tcPr>
          <w:p>
            <w:pPr>
              <w:spacing w:after="0"/>
              <w:rPr>
                <w:sz w:val="1"/>
                <w:szCs w:val="1"/>
                <w:color w:val="auto"/>
              </w:rPr>
            </w:pPr>
          </w:p>
        </w:tc>
      </w:tr>
      <w:tr>
        <w:trPr>
          <w:trHeight w:val="211"/>
        </w:trPr>
        <w:tc>
          <w:tcPr>
            <w:tcW w:w="6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purchased intangibles and acquired capitalized software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18,077</w:t>
            </w:r>
          </w:p>
        </w:tc>
        <w:tc>
          <w:tcPr>
            <w:tcW w:w="0" w:type="dxa"/>
            <w:vAlign w:val="bottom"/>
          </w:tcPr>
          <w:p>
            <w:pPr>
              <w:spacing w:after="0"/>
              <w:rPr>
                <w:sz w:val="1"/>
                <w:szCs w:val="1"/>
                <w:color w:val="auto"/>
              </w:rPr>
            </w:pPr>
          </w:p>
        </w:tc>
      </w:tr>
      <w:tr>
        <w:trPr>
          <w:trHeight w:val="208"/>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Termination of office leases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0" w:type="dxa"/>
            <w:vAlign w:val="bottom"/>
          </w:tcPr>
          <w:p>
            <w:pPr>
              <w:spacing w:after="0"/>
              <w:rPr>
                <w:sz w:val="1"/>
                <w:szCs w:val="1"/>
                <w:color w:val="auto"/>
              </w:rPr>
            </w:pPr>
          </w:p>
        </w:tc>
      </w:tr>
      <w:tr>
        <w:trPr>
          <w:trHeight w:val="211"/>
        </w:trPr>
        <w:tc>
          <w:tcPr>
            <w:tcW w:w="6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Debt issue cost related to debt refinancing, prepayment and commitment fees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0" w:type="dxa"/>
            <w:vAlign w:val="bottom"/>
          </w:tcPr>
          <w:p>
            <w:pPr>
              <w:spacing w:after="0"/>
              <w:rPr>
                <w:sz w:val="1"/>
                <w:szCs w:val="1"/>
                <w:color w:val="auto"/>
              </w:rPr>
            </w:pPr>
          </w:p>
        </w:tc>
      </w:tr>
      <w:tr>
        <w:trPr>
          <w:trHeight w:val="208"/>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Transaction advisory fees and expenses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1"/>
        </w:trPr>
        <w:tc>
          <w:tcPr>
            <w:tcW w:w="6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Financing interest expense on long-term borrowings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19,492</w:t>
            </w:r>
          </w:p>
        </w:tc>
        <w:tc>
          <w:tcPr>
            <w:tcW w:w="0" w:type="dxa"/>
            <w:vAlign w:val="bottom"/>
          </w:tcPr>
          <w:p>
            <w:pPr>
              <w:spacing w:after="0"/>
              <w:rPr>
                <w:sz w:val="1"/>
                <w:szCs w:val="1"/>
                <w:color w:val="auto"/>
              </w:rPr>
            </w:pPr>
          </w:p>
        </w:tc>
      </w:tr>
      <w:tr>
        <w:trPr>
          <w:trHeight w:val="201"/>
        </w:trPr>
        <w:tc>
          <w:tcPr>
            <w:tcW w:w="60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459,551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522,785</w:t>
            </w:r>
          </w:p>
        </w:tc>
        <w:tc>
          <w:tcPr>
            <w:tcW w:w="0" w:type="dxa"/>
            <w:vAlign w:val="bottom"/>
          </w:tcPr>
          <w:p>
            <w:pPr>
              <w:spacing w:after="0"/>
              <w:rPr>
                <w:sz w:val="1"/>
                <w:szCs w:val="1"/>
                <w:color w:val="auto"/>
              </w:rPr>
            </w:pPr>
          </w:p>
        </w:tc>
      </w:tr>
      <w:tr>
        <w:trPr>
          <w:trHeight w:val="204"/>
        </w:trPr>
        <w:tc>
          <w:tcPr>
            <w:tcW w:w="6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before income taxes and noncontrolling interest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489,787</w:t>
            </w:r>
          </w:p>
        </w:tc>
        <w:tc>
          <w:tcPr>
            <w:tcW w:w="0" w:type="dxa"/>
            <w:vAlign w:val="bottom"/>
          </w:tcPr>
          <w:p>
            <w:pPr>
              <w:spacing w:after="0"/>
              <w:rPr>
                <w:sz w:val="1"/>
                <w:szCs w:val="1"/>
                <w:color w:val="auto"/>
              </w:rPr>
            </w:pPr>
          </w:p>
        </w:tc>
      </w:tr>
      <w:tr>
        <w:trPr>
          <w:trHeight w:val="208"/>
        </w:trPr>
        <w:tc>
          <w:tcPr>
            <w:tcW w:w="6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41,786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80,555</w:t>
            </w:r>
          </w:p>
        </w:tc>
        <w:tc>
          <w:tcPr>
            <w:tcW w:w="0" w:type="dxa"/>
            <w:vAlign w:val="bottom"/>
          </w:tcPr>
          <w:p>
            <w:pPr>
              <w:spacing w:after="0"/>
              <w:rPr>
                <w:sz w:val="1"/>
                <w:szCs w:val="1"/>
                <w:color w:val="auto"/>
              </w:rPr>
            </w:pPr>
          </w:p>
        </w:tc>
      </w:tr>
      <w:tr>
        <w:trPr>
          <w:trHeight w:val="204"/>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199,925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409,232</w:t>
            </w:r>
          </w:p>
        </w:tc>
        <w:tc>
          <w:tcPr>
            <w:tcW w:w="0" w:type="dxa"/>
            <w:vAlign w:val="bottom"/>
          </w:tcPr>
          <w:p>
            <w:pPr>
              <w:spacing w:after="0"/>
              <w:rPr>
                <w:sz w:val="1"/>
                <w:szCs w:val="1"/>
                <w:color w:val="auto"/>
              </w:rPr>
            </w:pPr>
          </w:p>
        </w:tc>
      </w:tr>
      <w:tr>
        <w:trPr>
          <w:trHeight w:val="208"/>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Noncontrolling interest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(169,827)</w:t>
            </w:r>
          </w:p>
        </w:tc>
        <w:tc>
          <w:tcPr>
            <w:tcW w:w="0" w:type="dxa"/>
            <w:vAlign w:val="bottom"/>
          </w:tcPr>
          <w:p>
            <w:pPr>
              <w:spacing w:after="0"/>
              <w:rPr>
                <w:sz w:val="1"/>
                <w:szCs w:val="1"/>
                <w:color w:val="auto"/>
              </w:rPr>
            </w:pPr>
          </w:p>
        </w:tc>
      </w:tr>
      <w:tr>
        <w:trPr>
          <w:trHeight w:val="211"/>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available for common stockholders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112,257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239,405</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08"/>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11"/>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109,329,468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122,062,555</w:t>
            </w:r>
          </w:p>
        </w:tc>
        <w:tc>
          <w:tcPr>
            <w:tcW w:w="0" w:type="dxa"/>
            <w:vAlign w:val="bottom"/>
          </w:tcPr>
          <w:p>
            <w:pPr>
              <w:spacing w:after="0"/>
              <w:rPr>
                <w:sz w:val="1"/>
                <w:szCs w:val="1"/>
                <w:color w:val="auto"/>
              </w:rPr>
            </w:pPr>
          </w:p>
        </w:tc>
      </w:tr>
      <w:tr>
        <w:trPr>
          <w:trHeight w:val="208"/>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110,066,641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123,389,328</w:t>
            </w:r>
          </w:p>
        </w:tc>
        <w:tc>
          <w:tcPr>
            <w:tcW w:w="0" w:type="dxa"/>
            <w:vAlign w:val="bottom"/>
          </w:tcPr>
          <w:p>
            <w:pPr>
              <w:spacing w:after="0"/>
              <w:rPr>
                <w:sz w:val="1"/>
                <w:szCs w:val="1"/>
                <w:color w:val="auto"/>
              </w:rPr>
            </w:pPr>
          </w:p>
        </w:tc>
      </w:tr>
      <w:tr>
        <w:trPr>
          <w:trHeight w:val="211"/>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199,925</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409,232</w:t>
            </w:r>
          </w:p>
        </w:tc>
        <w:tc>
          <w:tcPr>
            <w:tcW w:w="0" w:type="dxa"/>
            <w:vAlign w:val="bottom"/>
          </w:tcPr>
          <w:p>
            <w:pPr>
              <w:spacing w:after="0"/>
              <w:rPr>
                <w:sz w:val="1"/>
                <w:szCs w:val="1"/>
                <w:color w:val="auto"/>
              </w:rPr>
            </w:pPr>
          </w:p>
        </w:tc>
      </w:tr>
      <w:tr>
        <w:trPr>
          <w:trHeight w:val="211"/>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Foreign exchange translation adjustment, net of taxes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0" w:type="dxa"/>
            <w:vAlign w:val="bottom"/>
          </w:tcPr>
          <w:p>
            <w:pPr>
              <w:spacing w:after="0"/>
              <w:rPr>
                <w:sz w:val="1"/>
                <w:szCs w:val="1"/>
                <w:color w:val="auto"/>
              </w:rPr>
            </w:pPr>
          </w:p>
        </w:tc>
      </w:tr>
      <w:tr>
        <w:trPr>
          <w:trHeight w:val="211"/>
        </w:trPr>
        <w:tc>
          <w:tcPr>
            <w:tcW w:w="6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change in unrealized cash flow hedges gain, net of taxes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47,873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21,906</w:t>
            </w:r>
          </w:p>
        </w:tc>
        <w:tc>
          <w:tcPr>
            <w:tcW w:w="0" w:type="dxa"/>
            <w:vAlign w:val="bottom"/>
          </w:tcPr>
          <w:p>
            <w:pPr>
              <w:spacing w:after="0"/>
              <w:rPr>
                <w:sz w:val="1"/>
                <w:szCs w:val="1"/>
                <w:color w:val="auto"/>
              </w:rPr>
            </w:pPr>
          </w:p>
        </w:tc>
      </w:tr>
      <w:tr>
        <w:trPr>
          <w:trHeight w:val="201"/>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427,462</w:t>
            </w:r>
          </w:p>
        </w:tc>
        <w:tc>
          <w:tcPr>
            <w:tcW w:w="0" w:type="dxa"/>
            <w:vAlign w:val="bottom"/>
          </w:tcPr>
          <w:p>
            <w:pPr>
              <w:spacing w:after="0"/>
              <w:rPr>
                <w:sz w:val="1"/>
                <w:szCs w:val="1"/>
                <w:color w:val="auto"/>
              </w:rPr>
            </w:pPr>
          </w:p>
        </w:tc>
      </w:tr>
      <w:tr>
        <w:trPr>
          <w:trHeight w:val="210"/>
        </w:trPr>
        <w:tc>
          <w:tcPr>
            <w:tcW w:w="6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(104,159)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(177,616)</w:t>
            </w:r>
          </w:p>
        </w:tc>
        <w:tc>
          <w:tcPr>
            <w:tcW w:w="0" w:type="dxa"/>
            <w:vAlign w:val="bottom"/>
          </w:tcPr>
          <w:p>
            <w:pPr>
              <w:spacing w:after="0"/>
              <w:rPr>
                <w:sz w:val="1"/>
                <w:szCs w:val="1"/>
                <w:color w:val="auto"/>
              </w:rPr>
            </w:pPr>
          </w:p>
        </w:tc>
      </w:tr>
      <w:tr>
        <w:trPr>
          <w:trHeight w:val="204"/>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Comprehensive income attributable to common stockholders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138,471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249,846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(Unaudited).</w:t>
      </w:r>
    </w:p>
    <w:p>
      <w:pPr>
        <w:spacing w:after="0" w:line="200" w:lineRule="exact"/>
        <w:rPr>
          <w:sz w:val="20"/>
          <w:szCs w:val="20"/>
          <w:color w:val="auto"/>
        </w:rPr>
      </w:pPr>
    </w:p>
    <w:p>
      <w:pPr>
        <w:spacing w:after="0" w:line="3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 w:name="page7"/>
    <w:bookmarkEnd w:id="6"/>
    <w:p>
      <w:pPr>
        <w:ind w:left="2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Equity (Unaudited)</w:t>
      </w:r>
    </w:p>
    <w:p>
      <w:pPr>
        <w:spacing w:after="0" w:line="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Three months ended March 31, 2022, and 2021</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9"/>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240" w:type="dxa"/>
            <w:vAlign w:val="bottom"/>
            <w:gridSpan w:val="8"/>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Class C Common Stock</w:t>
            </w:r>
          </w:p>
        </w:tc>
        <w:tc>
          <w:tcPr>
            <w:tcW w:w="20" w:type="dxa"/>
            <w:vAlign w:val="bottom"/>
          </w:tcPr>
          <w:p>
            <w:pPr>
              <w:spacing w:after="0"/>
              <w:rPr>
                <w:sz w:val="9"/>
                <w:szCs w:val="9"/>
                <w:color w:val="auto"/>
              </w:rPr>
            </w:pPr>
          </w:p>
        </w:tc>
        <w:tc>
          <w:tcPr>
            <w:tcW w:w="1260" w:type="dxa"/>
            <w:vAlign w:val="bottom"/>
            <w:gridSpan w:val="8"/>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Class D Common Stock</w:t>
            </w:r>
          </w:p>
        </w:tc>
        <w:tc>
          <w:tcPr>
            <w:tcW w:w="20" w:type="dxa"/>
            <w:vAlign w:val="bottom"/>
          </w:tcPr>
          <w:p>
            <w:pPr>
              <w:spacing w:after="0"/>
              <w:rPr>
                <w:sz w:val="9"/>
                <w:szCs w:val="9"/>
                <w:color w:val="auto"/>
              </w:rPr>
            </w:pPr>
          </w:p>
        </w:tc>
        <w:tc>
          <w:tcPr>
            <w:tcW w:w="1260" w:type="dxa"/>
            <w:vAlign w:val="bottom"/>
            <w:gridSpan w:val="5"/>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100" w:type="dxa"/>
            <w:vAlign w:val="bottom"/>
          </w:tcPr>
          <w:p>
            <w:pPr>
              <w:spacing w:after="0"/>
              <w:rPr>
                <w:sz w:val="9"/>
                <w:szCs w:val="9"/>
                <w:color w:val="auto"/>
              </w:rPr>
            </w:pPr>
          </w:p>
        </w:tc>
        <w:tc>
          <w:tcPr>
            <w:tcW w:w="58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rPr>
              <w:t>Paid-in</w:t>
            </w:r>
          </w:p>
        </w:tc>
        <w:tc>
          <w:tcPr>
            <w:tcW w:w="100" w:type="dxa"/>
            <w:vAlign w:val="bottom"/>
          </w:tcPr>
          <w:p>
            <w:pPr>
              <w:spacing w:after="0"/>
              <w:rPr>
                <w:sz w:val="9"/>
                <w:szCs w:val="9"/>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80" w:type="dxa"/>
            <w:vAlign w:val="bottom"/>
          </w:tcPr>
          <w:p>
            <w:pPr>
              <w:spacing w:after="0"/>
              <w:rPr>
                <w:sz w:val="9"/>
                <w:szCs w:val="9"/>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9"/>
                <w:szCs w:val="9"/>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Total Virtu</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9"/>
            <w:vMerge w:val="continue"/>
          </w:tcPr>
          <w:p>
            <w:pPr>
              <w:spacing w:after="0"/>
              <w:rPr>
                <w:sz w:val="9"/>
                <w:szCs w:val="9"/>
                <w:color w:val="auto"/>
              </w:rPr>
            </w:pPr>
          </w:p>
        </w:tc>
        <w:tc>
          <w:tcPr>
            <w:tcW w:w="1240" w:type="dxa"/>
            <w:vAlign w:val="bottom"/>
            <w:gridSpan w:val="8"/>
            <w:vMerge w:val="continue"/>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8"/>
            <w:vMerge w:val="continue"/>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rPr>
              <w:t>Capital</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 thousands, except</w:t>
            </w:r>
          </w:p>
        </w:tc>
        <w:tc>
          <w:tcPr>
            <w:tcW w:w="5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jc w:val="center"/>
              <w:ind w:right="180"/>
              <w:spacing w:after="0" w:line="72" w:lineRule="exact"/>
              <w:rPr>
                <w:sz w:val="20"/>
                <w:szCs w:val="20"/>
                <w:color w:val="auto"/>
              </w:rPr>
            </w:pPr>
            <w:r>
              <w:rPr>
                <w:rFonts w:ascii="Times New Roman" w:cs="Times New Roman" w:eastAsia="Times New Roman" w:hAnsi="Times New Roman"/>
                <w:sz w:val="8"/>
                <w:szCs w:val="8"/>
                <w:b w:val="1"/>
                <w:bCs w:val="1"/>
                <w:color w:val="auto"/>
              </w:rPr>
              <w:t>Earnings</w:t>
            </w:r>
          </w:p>
        </w:tc>
        <w:tc>
          <w:tcPr>
            <w:tcW w:w="80" w:type="dxa"/>
            <w:vAlign w:val="bottom"/>
          </w:tcPr>
          <w:p>
            <w:pPr>
              <w:spacing w:after="0"/>
              <w:rPr>
                <w:sz w:val="6"/>
                <w:szCs w:val="6"/>
                <w:color w:val="auto"/>
              </w:rPr>
            </w:pPr>
          </w:p>
        </w:tc>
        <w:tc>
          <w:tcPr>
            <w:tcW w:w="740" w:type="dxa"/>
            <w:vAlign w:val="bottom"/>
            <w:gridSpan w:val="2"/>
          </w:tcPr>
          <w:p>
            <w:pPr>
              <w:jc w:val="center"/>
              <w:ind w:right="160"/>
              <w:spacing w:after="0" w:line="72" w:lineRule="exact"/>
              <w:rPr>
                <w:sz w:val="20"/>
                <w:szCs w:val="20"/>
                <w:color w:val="auto"/>
              </w:rPr>
            </w:pPr>
            <w:r>
              <w:rPr>
                <w:rFonts w:ascii="Times New Roman" w:cs="Times New Roman" w:eastAsia="Times New Roman" w:hAnsi="Times New Roman"/>
                <w:sz w:val="8"/>
                <w:szCs w:val="8"/>
                <w:b w:val="1"/>
                <w:bCs w:val="1"/>
                <w:color w:val="auto"/>
              </w:rPr>
              <w:t>Other</w:t>
            </w:r>
          </w:p>
        </w:tc>
        <w:tc>
          <w:tcPr>
            <w:tcW w:w="740" w:type="dxa"/>
            <w:vAlign w:val="bottom"/>
            <w:gridSpan w:val="3"/>
          </w:tcPr>
          <w:p>
            <w:pPr>
              <w:ind w:left="20"/>
              <w:spacing w:after="0" w:line="72" w:lineRule="exact"/>
              <w:rPr>
                <w:sz w:val="20"/>
                <w:szCs w:val="20"/>
                <w:color w:val="auto"/>
              </w:rPr>
            </w:pPr>
            <w:r>
              <w:rPr>
                <w:rFonts w:ascii="Times New Roman" w:cs="Times New Roman" w:eastAsia="Times New Roman" w:hAnsi="Times New Roman"/>
                <w:sz w:val="8"/>
                <w:szCs w:val="8"/>
                <w:b w:val="1"/>
                <w:bCs w:val="1"/>
                <w:color w:val="auto"/>
              </w:rPr>
              <w:t>Financial Inc.</w:t>
            </w: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100" w:type="dxa"/>
            <w:vAlign w:val="bottom"/>
          </w:tcPr>
          <w:p>
            <w:pPr>
              <w:spacing w:after="0"/>
              <w:rPr>
                <w:sz w:val="6"/>
                <w:szCs w:val="6"/>
                <w:color w:val="auto"/>
              </w:rPr>
            </w:pPr>
          </w:p>
        </w:tc>
        <w:tc>
          <w:tcPr>
            <w:tcW w:w="500" w:type="dxa"/>
            <w:vAlign w:val="bottom"/>
            <w:vMerge w:val="restart"/>
          </w:tcPr>
          <w:p>
            <w:pPr>
              <w:jc w:val="center"/>
              <w:ind w:right="4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5"/>
        </w:trPr>
        <w:tc>
          <w:tcPr>
            <w:tcW w:w="1620" w:type="dxa"/>
            <w:vAlign w:val="bottom"/>
            <w:gridSpan w:val="2"/>
            <w:vMerge w:val="continue"/>
          </w:tcPr>
          <w:p>
            <w:pPr>
              <w:spacing w:after="0"/>
              <w:rPr>
                <w:sz w:val="9"/>
                <w:szCs w:val="9"/>
                <w:color w:val="auto"/>
              </w:rPr>
            </w:pPr>
          </w:p>
        </w:tc>
        <w:tc>
          <w:tcPr>
            <w:tcW w:w="6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 w:type="dxa"/>
            <w:vAlign w:val="bottom"/>
          </w:tcPr>
          <w:p>
            <w:pPr>
              <w:spacing w:after="0"/>
              <w:rPr>
                <w:sz w:val="9"/>
                <w:szCs w:val="9"/>
                <w:color w:val="auto"/>
              </w:rPr>
            </w:pPr>
          </w:p>
        </w:tc>
        <w:tc>
          <w:tcPr>
            <w:tcW w:w="600" w:type="dxa"/>
            <w:vAlign w:val="bottom"/>
            <w:gridSpan w:val="4"/>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20" w:type="dxa"/>
            <w:vAlign w:val="bottom"/>
          </w:tcPr>
          <w:p>
            <w:pPr>
              <w:spacing w:after="0"/>
              <w:rPr>
                <w:sz w:val="9"/>
                <w:szCs w:val="9"/>
                <w:color w:val="auto"/>
              </w:rPr>
            </w:pPr>
          </w:p>
        </w:tc>
        <w:tc>
          <w:tcPr>
            <w:tcW w:w="6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 w:type="dxa"/>
            <w:vAlign w:val="bottom"/>
          </w:tcPr>
          <w:p>
            <w:pPr>
              <w:spacing w:after="0"/>
              <w:rPr>
                <w:sz w:val="9"/>
                <w:szCs w:val="9"/>
                <w:color w:val="auto"/>
              </w:rPr>
            </w:pPr>
          </w:p>
        </w:tc>
        <w:tc>
          <w:tcPr>
            <w:tcW w:w="6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20" w:type="dxa"/>
            <w:vAlign w:val="bottom"/>
          </w:tcPr>
          <w:p>
            <w:pPr>
              <w:spacing w:after="0"/>
              <w:rPr>
                <w:sz w:val="9"/>
                <w:szCs w:val="9"/>
                <w:color w:val="auto"/>
              </w:rPr>
            </w:pP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9"/>
                <w:szCs w:val="9"/>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100" w:type="dxa"/>
            <w:vAlign w:val="bottom"/>
          </w:tcPr>
          <w:p>
            <w:pPr>
              <w:spacing w:after="0"/>
              <w:rPr>
                <w:sz w:val="9"/>
                <w:szCs w:val="9"/>
                <w:color w:val="auto"/>
              </w:rPr>
            </w:pPr>
          </w:p>
        </w:tc>
        <w:tc>
          <w:tcPr>
            <w:tcW w:w="5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74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2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74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share and interest data)</w:t>
            </w:r>
          </w:p>
        </w:tc>
        <w:tc>
          <w:tcPr>
            <w:tcW w:w="660" w:type="dxa"/>
            <w:vAlign w:val="bottom"/>
            <w:gridSpan w:val="4"/>
            <w:vMerge w:val="continue"/>
          </w:tcPr>
          <w:p>
            <w:pPr>
              <w:spacing w:after="0"/>
              <w:rPr>
                <w:sz w:val="13"/>
                <w:szCs w:val="13"/>
                <w:color w:val="auto"/>
              </w:rPr>
            </w:pPr>
          </w:p>
        </w:tc>
        <w:tc>
          <w:tcPr>
            <w:tcW w:w="600" w:type="dxa"/>
            <w:vAlign w:val="bottom"/>
            <w:gridSpan w:val="5"/>
            <w:vMerge w:val="continue"/>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8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Income (loss)</w:t>
            </w:r>
          </w:p>
        </w:tc>
        <w:tc>
          <w:tcPr>
            <w:tcW w:w="8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14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13"/>
                <w:szCs w:val="13"/>
                <w:color w:val="auto"/>
              </w:rPr>
            </w:pPr>
          </w:p>
        </w:tc>
        <w:tc>
          <w:tcPr>
            <w:tcW w:w="500" w:type="dxa"/>
            <w:vAlign w:val="bottom"/>
          </w:tcPr>
          <w:p>
            <w:pPr>
              <w:jc w:val="center"/>
              <w:ind w:right="68"/>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57"/>
        </w:trPr>
        <w:tc>
          <w:tcPr>
            <w:tcW w:w="1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at December 31, 2021</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9"/>
              </w:rPr>
              <w:t>131,497,645</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9,359,065</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(18,326,863)</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(494,075)</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1,223,119</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830,538</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(10,196)</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1,549,388</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314,230</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1,863,618</w:t>
            </w:r>
          </w:p>
        </w:tc>
        <w:tc>
          <w:tcPr>
            <w:tcW w:w="0" w:type="dxa"/>
            <w:vAlign w:val="bottom"/>
          </w:tcPr>
          <w:p>
            <w:pPr>
              <w:spacing w:after="0"/>
              <w:rPr>
                <w:sz w:val="1"/>
                <w:szCs w:val="1"/>
                <w:color w:val="auto"/>
              </w:rPr>
            </w:pPr>
          </w:p>
        </w:tc>
      </w:tr>
      <w:tr>
        <w:trPr>
          <w:trHeight w:val="147"/>
        </w:trPr>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Share based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1,669,030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27,377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27,377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27,377</w:t>
            </w:r>
          </w:p>
        </w:tc>
        <w:tc>
          <w:tcPr>
            <w:tcW w:w="0" w:type="dxa"/>
            <w:vAlign w:val="bottom"/>
          </w:tcPr>
          <w:p>
            <w:pPr>
              <w:spacing w:after="0"/>
              <w:rPr>
                <w:sz w:val="1"/>
                <w:szCs w:val="1"/>
                <w:color w:val="auto"/>
              </w:rPr>
            </w:pPr>
          </w:p>
        </w:tc>
      </w:tr>
      <w:tr>
        <w:trPr>
          <w:trHeight w:val="115"/>
        </w:trPr>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Repurchase of Class C common</w:t>
            </w:r>
          </w:p>
        </w:tc>
        <w:tc>
          <w:tcPr>
            <w:tcW w:w="66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9"/>
                <w:szCs w:val="9"/>
                <w:color w:val="auto"/>
              </w:rPr>
            </w:pPr>
          </w:p>
        </w:tc>
        <w:tc>
          <w:tcPr>
            <w:tcW w:w="40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(234,269)</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(8,204)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(8,204)</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(8,204)</w:t>
            </w:r>
          </w:p>
        </w:tc>
        <w:tc>
          <w:tcPr>
            <w:tcW w:w="0" w:type="dxa"/>
            <w:vAlign w:val="bottom"/>
          </w:tcPr>
          <w:p>
            <w:pPr>
              <w:spacing w:after="0"/>
              <w:rPr>
                <w:sz w:val="1"/>
                <w:szCs w:val="1"/>
                <w:color w:val="auto"/>
              </w:rPr>
            </w:pPr>
          </w:p>
        </w:tc>
      </w:tr>
      <w:tr>
        <w:trPr>
          <w:trHeight w:val="157"/>
        </w:trPr>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stock</w:t>
            </w:r>
          </w:p>
        </w:tc>
        <w:tc>
          <w:tcPr>
            <w:tcW w:w="660" w:type="dxa"/>
            <w:vAlign w:val="bottom"/>
            <w:gridSpan w:val="4"/>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gridSpan w:val="4"/>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Treasury stock purchases</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(612,844)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(8,908,544)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(287,211)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(18,354)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(305,565)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(305,565)</w:t>
            </w:r>
          </w:p>
        </w:tc>
        <w:tc>
          <w:tcPr>
            <w:tcW w:w="0" w:type="dxa"/>
            <w:vAlign w:val="bottom"/>
          </w:tcPr>
          <w:p>
            <w:pPr>
              <w:spacing w:after="0"/>
              <w:rPr>
                <w:sz w:val="1"/>
                <w:szCs w:val="1"/>
                <w:color w:val="auto"/>
              </w:rPr>
            </w:pPr>
          </w:p>
        </w:tc>
      </w:tr>
      <w:tr>
        <w:trPr>
          <w:trHeight w:val="167"/>
        </w:trPr>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Stock options exercised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246,879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4,691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4,691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4,691</w:t>
            </w:r>
          </w:p>
        </w:tc>
        <w:tc>
          <w:tcPr>
            <w:tcW w:w="0" w:type="dxa"/>
            <w:vAlign w:val="bottom"/>
          </w:tcPr>
          <w:p>
            <w:pPr>
              <w:spacing w:after="0"/>
              <w:rPr>
                <w:sz w:val="1"/>
                <w:szCs w:val="1"/>
                <w:color w:val="auto"/>
              </w:rPr>
            </w:pPr>
          </w:p>
        </w:tc>
      </w:tr>
      <w:tr>
        <w:trPr>
          <w:trHeight w:val="147"/>
        </w:trPr>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Net income</w:t>
            </w:r>
          </w:p>
        </w:tc>
        <w:tc>
          <w:tcPr>
            <w:tcW w:w="66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2"/>
                <w:szCs w:val="12"/>
                <w:color w:val="auto"/>
              </w:rPr>
            </w:pPr>
          </w:p>
        </w:tc>
        <w:tc>
          <w:tcPr>
            <w:tcW w:w="40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112,257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112,257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87,668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199,925</w:t>
            </w:r>
          </w:p>
        </w:tc>
        <w:tc>
          <w:tcPr>
            <w:tcW w:w="0" w:type="dxa"/>
            <w:vAlign w:val="bottom"/>
          </w:tcPr>
          <w:p>
            <w:pPr>
              <w:spacing w:after="0"/>
              <w:rPr>
                <w:sz w:val="1"/>
                <w:szCs w:val="1"/>
                <w:color w:val="auto"/>
              </w:rPr>
            </w:pPr>
          </w:p>
        </w:tc>
      </w:tr>
      <w:tr>
        <w:trPr>
          <w:trHeight w:val="115"/>
        </w:trPr>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Foreign exchange translation</w:t>
            </w:r>
          </w:p>
        </w:tc>
        <w:tc>
          <w:tcPr>
            <w:tcW w:w="66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9"/>
                <w:szCs w:val="9"/>
                <w:color w:val="auto"/>
              </w:rPr>
            </w:pPr>
          </w:p>
        </w:tc>
        <w:tc>
          <w:tcPr>
            <w:tcW w:w="40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(3,172)</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(3,172)</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(1,996)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(5,168)</w:t>
            </w:r>
          </w:p>
        </w:tc>
        <w:tc>
          <w:tcPr>
            <w:tcW w:w="0" w:type="dxa"/>
            <w:vAlign w:val="bottom"/>
          </w:tcPr>
          <w:p>
            <w:pPr>
              <w:spacing w:after="0"/>
              <w:rPr>
                <w:sz w:val="1"/>
                <w:szCs w:val="1"/>
                <w:color w:val="auto"/>
              </w:rPr>
            </w:pPr>
          </w:p>
        </w:tc>
      </w:tr>
      <w:tr>
        <w:trPr>
          <w:trHeight w:val="157"/>
        </w:trPr>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adjustment</w:t>
            </w:r>
          </w:p>
        </w:tc>
        <w:tc>
          <w:tcPr>
            <w:tcW w:w="660" w:type="dxa"/>
            <w:vAlign w:val="bottom"/>
            <w:gridSpan w:val="4"/>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gridSpan w:val="4"/>
            <w:vMerge w:val="continue"/>
            <w:shd w:val="clear" w:color="auto" w:fill="CCEEFF"/>
          </w:tcPr>
          <w:p>
            <w:pPr>
              <w:spacing w:after="0"/>
              <w:rPr>
                <w:sz w:val="13"/>
                <w:szCs w:val="13"/>
                <w:color w:val="auto"/>
              </w:rPr>
            </w:pPr>
          </w:p>
        </w:tc>
        <w:tc>
          <w:tcPr>
            <w:tcW w:w="62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2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Net change in unrealized cash</w:t>
            </w:r>
          </w:p>
        </w:tc>
        <w:tc>
          <w:tcPr>
            <w:tcW w:w="66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4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0"/>
                <w:szCs w:val="10"/>
                <w:color w:val="auto"/>
              </w:rPr>
              <w:t>29,387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29,387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18,486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47,873</w:t>
            </w:r>
          </w:p>
        </w:tc>
        <w:tc>
          <w:tcPr>
            <w:tcW w:w="0" w:type="dxa"/>
            <w:vAlign w:val="bottom"/>
          </w:tcPr>
          <w:p>
            <w:pPr>
              <w:spacing w:after="0"/>
              <w:rPr>
                <w:sz w:val="1"/>
                <w:szCs w:val="1"/>
                <w:color w:val="auto"/>
              </w:rPr>
            </w:pPr>
          </w:p>
        </w:tc>
      </w:tr>
      <w:tr>
        <w:trPr>
          <w:trHeight w:val="147"/>
        </w:trPr>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flow hedges gains</w:t>
            </w:r>
          </w:p>
        </w:tc>
        <w:tc>
          <w:tcPr>
            <w:tcW w:w="66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4"/>
            <w:vMerge w:val="continue"/>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Dividends ($0.24 per share of</w:t>
            </w: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20" w:type="dxa"/>
            <w:vAlign w:val="bottom"/>
            <w:gridSpan w:val="2"/>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Class A common stock and</w:t>
            </w: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20" w:type="dxa"/>
            <w:vAlign w:val="bottom"/>
            <w:gridSpan w:val="2"/>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participating Restricted Stock</w:t>
            </w: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20" w:type="dxa"/>
            <w:vAlign w:val="bottom"/>
            <w:gridSpan w:val="2"/>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 and Restricted Stock</w:t>
            </w: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20" w:type="dxa"/>
            <w:vAlign w:val="bottom"/>
            <w:gridSpan w:val="2"/>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Awards) and distributions from</w:t>
            </w: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20" w:type="dxa"/>
            <w:vAlign w:val="bottom"/>
            <w:gridSpan w:val="2"/>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Virtu Financial to</w:t>
            </w:r>
          </w:p>
        </w:tc>
        <w:tc>
          <w:tcPr>
            <w:tcW w:w="66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9"/>
                <w:szCs w:val="9"/>
                <w:color w:val="auto"/>
              </w:rPr>
            </w:pPr>
          </w:p>
        </w:tc>
        <w:tc>
          <w:tcPr>
            <w:tcW w:w="40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(27,054)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(27,054)</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(98,751)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(125,805)</w:t>
            </w:r>
          </w:p>
        </w:tc>
        <w:tc>
          <w:tcPr>
            <w:tcW w:w="0" w:type="dxa"/>
            <w:vAlign w:val="bottom"/>
          </w:tcPr>
          <w:p>
            <w:pPr>
              <w:spacing w:after="0"/>
              <w:rPr>
                <w:sz w:val="1"/>
                <w:szCs w:val="1"/>
                <w:color w:val="auto"/>
              </w:rPr>
            </w:pPr>
          </w:p>
        </w:tc>
      </w:tr>
      <w:tr>
        <w:trPr>
          <w:trHeight w:val="157"/>
        </w:trPr>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noncontrolling interest</w:t>
            </w:r>
          </w:p>
        </w:tc>
        <w:tc>
          <w:tcPr>
            <w:tcW w:w="660" w:type="dxa"/>
            <w:vAlign w:val="bottom"/>
            <w:gridSpan w:val="4"/>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gridSpan w:val="4"/>
            <w:vMerge w:val="continue"/>
            <w:shd w:val="clear" w:color="auto" w:fill="CCEEFF"/>
          </w:tcPr>
          <w:p>
            <w:pPr>
              <w:spacing w:after="0"/>
              <w:rPr>
                <w:sz w:val="13"/>
                <w:szCs w:val="13"/>
                <w:color w:val="auto"/>
              </w:rPr>
            </w:pPr>
          </w:p>
        </w:tc>
        <w:tc>
          <w:tcPr>
            <w:tcW w:w="62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2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Issuance of common stock in</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2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connection with employee</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71,641</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7"/>
        </w:trPr>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exchanges</w:t>
            </w: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4"/>
            <w:vMerge w:val="continue"/>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Repurchase of Virtu Financial</w:t>
            </w: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20" w:type="dxa"/>
            <w:vAlign w:val="bottom"/>
            <w:gridSpan w:val="2"/>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Units and corresponding number</w:t>
            </w: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20" w:type="dxa"/>
            <w:vAlign w:val="bottom"/>
            <w:gridSpan w:val="2"/>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of Class C common stock in</w:t>
            </w: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20" w:type="dxa"/>
            <w:vAlign w:val="bottom"/>
            <w:gridSpan w:val="2"/>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connection with employee</w:t>
            </w:r>
          </w:p>
        </w:tc>
        <w:tc>
          <w:tcPr>
            <w:tcW w:w="66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9"/>
                <w:szCs w:val="9"/>
                <w:color w:val="auto"/>
              </w:rPr>
            </w:pPr>
          </w:p>
        </w:tc>
        <w:tc>
          <w:tcPr>
            <w:tcW w:w="40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(71,641)</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7"/>
        </w:trPr>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exchanges</w:t>
            </w:r>
          </w:p>
        </w:tc>
        <w:tc>
          <w:tcPr>
            <w:tcW w:w="660" w:type="dxa"/>
            <w:vAlign w:val="bottom"/>
            <w:gridSpan w:val="4"/>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gridSpan w:val="4"/>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Balance at March 31, 2022</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9"/>
              </w:rPr>
              <w:t>132,872,351</w:t>
            </w: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9,053,155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top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rPr>
              <w:t>(27,235,407)</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(781,286)</w:t>
            </w:r>
          </w:p>
        </w:tc>
        <w:tc>
          <w:tcPr>
            <w:tcW w:w="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1,246,983</w:t>
            </w:r>
          </w:p>
        </w:tc>
        <w:tc>
          <w:tcPr>
            <w:tcW w:w="80" w:type="dxa"/>
            <w:vAlign w:val="bottom"/>
          </w:tcPr>
          <w:p>
            <w:pPr>
              <w:spacing w:after="0"/>
              <w:rPr>
                <w:sz w:val="11"/>
                <w:szCs w:val="11"/>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897,387</w:t>
            </w:r>
          </w:p>
        </w:tc>
        <w:tc>
          <w:tcPr>
            <w:tcW w:w="80" w:type="dxa"/>
            <w:vAlign w:val="bottom"/>
          </w:tcPr>
          <w:p>
            <w:pPr>
              <w:spacing w:after="0"/>
              <w:rPr>
                <w:sz w:val="11"/>
                <w:szCs w:val="11"/>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0"/>
                <w:szCs w:val="10"/>
                <w:color w:val="auto"/>
              </w:rPr>
              <w:t>16,019</w:t>
            </w:r>
          </w:p>
        </w:tc>
        <w:tc>
          <w:tcPr>
            <w:tcW w:w="80" w:type="dxa"/>
            <w:vAlign w:val="bottom"/>
          </w:tcPr>
          <w:p>
            <w:pPr>
              <w:spacing w:after="0"/>
              <w:rPr>
                <w:sz w:val="11"/>
                <w:szCs w:val="11"/>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1,379,105</w:t>
            </w:r>
          </w:p>
        </w:tc>
        <w:tc>
          <w:tcPr>
            <w:tcW w:w="80" w:type="dxa"/>
            <w:vAlign w:val="bottom"/>
          </w:tcPr>
          <w:p>
            <w:pPr>
              <w:spacing w:after="0"/>
              <w:rPr>
                <w:sz w:val="11"/>
                <w:szCs w:val="11"/>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319,637</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1,698,742</w:t>
            </w:r>
          </w:p>
        </w:tc>
        <w:tc>
          <w:tcPr>
            <w:tcW w:w="0" w:type="dxa"/>
            <w:vAlign w:val="bottom"/>
          </w:tcPr>
          <w:p>
            <w:pPr>
              <w:spacing w:after="0"/>
              <w:rPr>
                <w:sz w:val="1"/>
                <w:szCs w:val="1"/>
                <w:color w:val="auto"/>
              </w:rPr>
            </w:pPr>
          </w:p>
        </w:tc>
      </w:tr>
      <w:tr>
        <w:trPr>
          <w:trHeight w:val="295"/>
        </w:trPr>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9"/>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240" w:type="dxa"/>
            <w:vAlign w:val="bottom"/>
            <w:gridSpan w:val="8"/>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Class C Common Stock</w:t>
            </w:r>
          </w:p>
        </w:tc>
        <w:tc>
          <w:tcPr>
            <w:tcW w:w="20" w:type="dxa"/>
            <w:vAlign w:val="bottom"/>
          </w:tcPr>
          <w:p>
            <w:pPr>
              <w:spacing w:after="0"/>
              <w:rPr>
                <w:sz w:val="9"/>
                <w:szCs w:val="9"/>
                <w:color w:val="auto"/>
              </w:rPr>
            </w:pPr>
          </w:p>
        </w:tc>
        <w:tc>
          <w:tcPr>
            <w:tcW w:w="1260" w:type="dxa"/>
            <w:vAlign w:val="bottom"/>
            <w:gridSpan w:val="8"/>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Class D Common Stock</w:t>
            </w:r>
          </w:p>
        </w:tc>
        <w:tc>
          <w:tcPr>
            <w:tcW w:w="20" w:type="dxa"/>
            <w:vAlign w:val="bottom"/>
          </w:tcPr>
          <w:p>
            <w:pPr>
              <w:spacing w:after="0"/>
              <w:rPr>
                <w:sz w:val="9"/>
                <w:szCs w:val="9"/>
                <w:color w:val="auto"/>
              </w:rPr>
            </w:pPr>
          </w:p>
        </w:tc>
        <w:tc>
          <w:tcPr>
            <w:tcW w:w="1260" w:type="dxa"/>
            <w:vAlign w:val="bottom"/>
            <w:gridSpan w:val="5"/>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100" w:type="dxa"/>
            <w:vAlign w:val="bottom"/>
          </w:tcPr>
          <w:p>
            <w:pPr>
              <w:spacing w:after="0"/>
              <w:rPr>
                <w:sz w:val="9"/>
                <w:szCs w:val="9"/>
                <w:color w:val="auto"/>
              </w:rPr>
            </w:pPr>
          </w:p>
        </w:tc>
        <w:tc>
          <w:tcPr>
            <w:tcW w:w="58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rPr>
              <w:t>Paid-in</w:t>
            </w:r>
          </w:p>
        </w:tc>
        <w:tc>
          <w:tcPr>
            <w:tcW w:w="100" w:type="dxa"/>
            <w:vAlign w:val="bottom"/>
          </w:tcPr>
          <w:p>
            <w:pPr>
              <w:spacing w:after="0"/>
              <w:rPr>
                <w:sz w:val="9"/>
                <w:szCs w:val="9"/>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80" w:type="dxa"/>
            <w:vAlign w:val="bottom"/>
          </w:tcPr>
          <w:p>
            <w:pPr>
              <w:spacing w:after="0"/>
              <w:rPr>
                <w:sz w:val="9"/>
                <w:szCs w:val="9"/>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9"/>
                <w:szCs w:val="9"/>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Total Virtu</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9"/>
            <w:vMerge w:val="continue"/>
          </w:tcPr>
          <w:p>
            <w:pPr>
              <w:spacing w:after="0"/>
              <w:rPr>
                <w:sz w:val="9"/>
                <w:szCs w:val="9"/>
                <w:color w:val="auto"/>
              </w:rPr>
            </w:pPr>
          </w:p>
        </w:tc>
        <w:tc>
          <w:tcPr>
            <w:tcW w:w="1240" w:type="dxa"/>
            <w:vAlign w:val="bottom"/>
            <w:gridSpan w:val="8"/>
            <w:vMerge w:val="continue"/>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8"/>
            <w:vMerge w:val="continue"/>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rPr>
              <w:t>Capital</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16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tcPr>
          <w:p>
            <w:pPr>
              <w:jc w:val="center"/>
              <w:ind w:right="180"/>
              <w:spacing w:after="0" w:line="53" w:lineRule="exact"/>
              <w:rPr>
                <w:sz w:val="20"/>
                <w:szCs w:val="20"/>
                <w:color w:val="auto"/>
              </w:rPr>
            </w:pPr>
            <w:r>
              <w:rPr>
                <w:rFonts w:ascii="Times New Roman" w:cs="Times New Roman" w:eastAsia="Times New Roman" w:hAnsi="Times New Roman"/>
                <w:sz w:val="6"/>
                <w:szCs w:val="6"/>
                <w:b w:val="1"/>
                <w:bCs w:val="1"/>
                <w:color w:val="auto"/>
              </w:rPr>
              <w:t>Earnings</w:t>
            </w:r>
          </w:p>
        </w:tc>
        <w:tc>
          <w:tcPr>
            <w:tcW w:w="80" w:type="dxa"/>
            <w:vAlign w:val="bottom"/>
          </w:tcPr>
          <w:p>
            <w:pPr>
              <w:spacing w:after="0"/>
              <w:rPr>
                <w:sz w:val="4"/>
                <w:szCs w:val="4"/>
                <w:color w:val="auto"/>
              </w:rPr>
            </w:pPr>
          </w:p>
        </w:tc>
        <w:tc>
          <w:tcPr>
            <w:tcW w:w="740" w:type="dxa"/>
            <w:vAlign w:val="bottom"/>
            <w:gridSpan w:val="2"/>
          </w:tcPr>
          <w:p>
            <w:pPr>
              <w:jc w:val="center"/>
              <w:ind w:right="160"/>
              <w:spacing w:after="0" w:line="53" w:lineRule="exact"/>
              <w:rPr>
                <w:sz w:val="20"/>
                <w:szCs w:val="20"/>
                <w:color w:val="auto"/>
              </w:rPr>
            </w:pPr>
            <w:r>
              <w:rPr>
                <w:rFonts w:ascii="Times New Roman" w:cs="Times New Roman" w:eastAsia="Times New Roman" w:hAnsi="Times New Roman"/>
                <w:sz w:val="6"/>
                <w:szCs w:val="6"/>
                <w:b w:val="1"/>
                <w:bCs w:val="1"/>
                <w:color w:val="auto"/>
              </w:rPr>
              <w:t>Other</w:t>
            </w:r>
          </w:p>
        </w:tc>
        <w:tc>
          <w:tcPr>
            <w:tcW w:w="740" w:type="dxa"/>
            <w:vAlign w:val="bottom"/>
            <w:gridSpan w:val="3"/>
          </w:tcPr>
          <w:p>
            <w:pPr>
              <w:ind w:left="20"/>
              <w:spacing w:after="0" w:line="53" w:lineRule="exact"/>
              <w:rPr>
                <w:sz w:val="20"/>
                <w:szCs w:val="20"/>
                <w:color w:val="auto"/>
              </w:rPr>
            </w:pPr>
            <w:r>
              <w:rPr>
                <w:rFonts w:ascii="Times New Roman" w:cs="Times New Roman" w:eastAsia="Times New Roman" w:hAnsi="Times New Roman"/>
                <w:sz w:val="6"/>
                <w:szCs w:val="6"/>
                <w:b w:val="1"/>
                <w:bCs w:val="1"/>
                <w:color w:val="auto"/>
              </w:rPr>
              <w:t>Financial Inc.</w:t>
            </w: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(in thousands, except</w:t>
            </w:r>
          </w:p>
        </w:tc>
        <w:tc>
          <w:tcPr>
            <w:tcW w:w="6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 w:type="dxa"/>
            <w:vAlign w:val="bottom"/>
          </w:tcPr>
          <w:p>
            <w:pPr>
              <w:spacing w:after="0"/>
              <w:rPr>
                <w:sz w:val="10"/>
                <w:szCs w:val="10"/>
                <w:color w:val="auto"/>
              </w:rPr>
            </w:pPr>
          </w:p>
        </w:tc>
        <w:tc>
          <w:tcPr>
            <w:tcW w:w="60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20" w:type="dxa"/>
            <w:vAlign w:val="bottom"/>
          </w:tcPr>
          <w:p>
            <w:pPr>
              <w:spacing w:after="0"/>
              <w:rPr>
                <w:sz w:val="10"/>
                <w:szCs w:val="10"/>
                <w:color w:val="auto"/>
              </w:rPr>
            </w:pPr>
          </w:p>
        </w:tc>
        <w:tc>
          <w:tcPr>
            <w:tcW w:w="6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20" w:type="dxa"/>
            <w:vAlign w:val="bottom"/>
          </w:tcPr>
          <w:p>
            <w:pPr>
              <w:spacing w:after="0"/>
              <w:rPr>
                <w:sz w:val="10"/>
                <w:szCs w:val="10"/>
                <w:color w:val="auto"/>
              </w:rPr>
            </w:pPr>
          </w:p>
        </w:tc>
        <w:tc>
          <w:tcPr>
            <w:tcW w:w="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10"/>
                <w:szCs w:val="10"/>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100" w:type="dxa"/>
            <w:vAlign w:val="bottom"/>
          </w:tcPr>
          <w:p>
            <w:pPr>
              <w:spacing w:after="0"/>
              <w:rPr>
                <w:sz w:val="10"/>
                <w:szCs w:val="10"/>
                <w:color w:val="auto"/>
              </w:rPr>
            </w:pPr>
          </w:p>
        </w:tc>
        <w:tc>
          <w:tcPr>
            <w:tcW w:w="5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Comprehensive</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Stockholders'</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100" w:type="dxa"/>
            <w:vAlign w:val="bottom"/>
          </w:tcPr>
          <w:p>
            <w:pPr>
              <w:spacing w:after="0"/>
              <w:rPr>
                <w:sz w:val="10"/>
                <w:szCs w:val="10"/>
                <w:color w:val="auto"/>
              </w:rPr>
            </w:pPr>
          </w:p>
        </w:tc>
        <w:tc>
          <w:tcPr>
            <w:tcW w:w="500" w:type="dxa"/>
            <w:vAlign w:val="bottom"/>
          </w:tcPr>
          <w:p>
            <w:pPr>
              <w:jc w:val="center"/>
              <w:ind w:right="4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50"/>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share and interest data)</w:t>
            </w:r>
          </w:p>
        </w:tc>
        <w:tc>
          <w:tcPr>
            <w:tcW w:w="660" w:type="dxa"/>
            <w:vAlign w:val="bottom"/>
            <w:gridSpan w:val="4"/>
            <w:vMerge w:val="continue"/>
          </w:tcPr>
          <w:p>
            <w:pPr>
              <w:spacing w:after="0"/>
              <w:rPr>
                <w:sz w:val="13"/>
                <w:szCs w:val="13"/>
                <w:color w:val="auto"/>
              </w:rPr>
            </w:pPr>
          </w:p>
        </w:tc>
        <w:tc>
          <w:tcPr>
            <w:tcW w:w="600" w:type="dxa"/>
            <w:vAlign w:val="bottom"/>
            <w:gridSpan w:val="5"/>
            <w:vMerge w:val="continue"/>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8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Income (loss)</w:t>
            </w:r>
          </w:p>
        </w:tc>
        <w:tc>
          <w:tcPr>
            <w:tcW w:w="8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14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13"/>
                <w:szCs w:val="13"/>
                <w:color w:val="auto"/>
              </w:rPr>
            </w:pPr>
          </w:p>
        </w:tc>
        <w:tc>
          <w:tcPr>
            <w:tcW w:w="500" w:type="dxa"/>
            <w:vAlign w:val="bottom"/>
          </w:tcPr>
          <w:p>
            <w:pPr>
              <w:jc w:val="center"/>
              <w:ind w:right="68"/>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57"/>
        </w:trPr>
        <w:tc>
          <w:tcPr>
            <w:tcW w:w="1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at December 31, 2020</w:t>
            </w:r>
          </w:p>
        </w:tc>
        <w:tc>
          <w:tcPr>
            <w:tcW w:w="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9"/>
              </w:rPr>
              <w:t>125,627,277</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10,226,939</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top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60,091,740</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(3,615,097)</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(88,923)</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1,160,567</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422,381</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(25,487)</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1,468,540</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386,498</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1,855,038</w:t>
            </w:r>
          </w:p>
        </w:tc>
        <w:tc>
          <w:tcPr>
            <w:tcW w:w="0" w:type="dxa"/>
            <w:vAlign w:val="bottom"/>
          </w:tcPr>
          <w:p>
            <w:pPr>
              <w:spacing w:after="0"/>
              <w:rPr>
                <w:sz w:val="1"/>
                <w:szCs w:val="1"/>
                <w:color w:val="auto"/>
              </w:rPr>
            </w:pPr>
          </w:p>
        </w:tc>
      </w:tr>
      <w:tr>
        <w:trPr>
          <w:trHeight w:val="147"/>
        </w:trPr>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Share based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1,896,407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3"/>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27,450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27,450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27,450</w:t>
            </w:r>
          </w:p>
        </w:tc>
        <w:tc>
          <w:tcPr>
            <w:tcW w:w="0" w:type="dxa"/>
            <w:vAlign w:val="bottom"/>
          </w:tcPr>
          <w:p>
            <w:pPr>
              <w:spacing w:after="0"/>
              <w:rPr>
                <w:sz w:val="1"/>
                <w:szCs w:val="1"/>
                <w:color w:val="auto"/>
              </w:rPr>
            </w:pPr>
          </w:p>
        </w:tc>
      </w:tr>
      <w:tr>
        <w:trPr>
          <w:trHeight w:val="167"/>
        </w:trPr>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Treasury stock purchases</w:t>
            </w: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(615,794)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(2,277,409)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(63,359)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(16,059)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(79,418)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(79,418)</w:t>
            </w:r>
          </w:p>
        </w:tc>
        <w:tc>
          <w:tcPr>
            <w:tcW w:w="0" w:type="dxa"/>
            <w:vAlign w:val="bottom"/>
          </w:tcPr>
          <w:p>
            <w:pPr>
              <w:spacing w:after="0"/>
              <w:rPr>
                <w:sz w:val="1"/>
                <w:szCs w:val="1"/>
                <w:color w:val="auto"/>
              </w:rPr>
            </w:pPr>
          </w:p>
        </w:tc>
      </w:tr>
      <w:tr>
        <w:trPr>
          <w:trHeight w:val="147"/>
        </w:trPr>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Stock options exercised</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154,372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4"/>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3"/>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2,933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2,933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2,933</w:t>
            </w:r>
          </w:p>
        </w:tc>
        <w:tc>
          <w:tcPr>
            <w:tcW w:w="0" w:type="dxa"/>
            <w:vAlign w:val="bottom"/>
          </w:tcPr>
          <w:p>
            <w:pPr>
              <w:spacing w:after="0"/>
              <w:rPr>
                <w:sz w:val="1"/>
                <w:szCs w:val="1"/>
                <w:color w:val="auto"/>
              </w:rPr>
            </w:pPr>
          </w:p>
        </w:tc>
      </w:tr>
      <w:tr>
        <w:trPr>
          <w:trHeight w:val="167"/>
        </w:trPr>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income</w:t>
            </w:r>
          </w:p>
        </w:tc>
        <w:tc>
          <w:tcPr>
            <w:tcW w:w="6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4"/>
                <w:szCs w:val="14"/>
                <w:color w:val="auto"/>
              </w:rPr>
            </w:pPr>
          </w:p>
        </w:tc>
        <w:tc>
          <w:tcPr>
            <w:tcW w:w="4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239,405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239,405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169,827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409,232</w:t>
            </w:r>
          </w:p>
        </w:tc>
        <w:tc>
          <w:tcPr>
            <w:tcW w:w="0" w:type="dxa"/>
            <w:vAlign w:val="bottom"/>
          </w:tcPr>
          <w:p>
            <w:pPr>
              <w:spacing w:after="0"/>
              <w:rPr>
                <w:sz w:val="1"/>
                <w:szCs w:val="1"/>
                <w:color w:val="auto"/>
              </w:rPr>
            </w:pPr>
          </w:p>
        </w:tc>
      </w:tr>
      <w:tr>
        <w:trPr>
          <w:trHeight w:val="105"/>
        </w:trPr>
        <w:tc>
          <w:tcPr>
            <w:tcW w:w="162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Foreign exchange translation</w:t>
            </w:r>
          </w:p>
        </w:tc>
        <w:tc>
          <w:tcPr>
            <w:tcW w:w="66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4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(2,165)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(2,165)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(1,511)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(3,676)</w:t>
            </w:r>
          </w:p>
        </w:tc>
        <w:tc>
          <w:tcPr>
            <w:tcW w:w="0" w:type="dxa"/>
            <w:vAlign w:val="bottom"/>
          </w:tcPr>
          <w:p>
            <w:pPr>
              <w:spacing w:after="0"/>
              <w:rPr>
                <w:sz w:val="1"/>
                <w:szCs w:val="1"/>
                <w:color w:val="auto"/>
              </w:rPr>
            </w:pPr>
          </w:p>
        </w:tc>
      </w:tr>
      <w:tr>
        <w:trPr>
          <w:trHeight w:val="147"/>
        </w:trPr>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adjustment</w:t>
            </w:r>
          </w:p>
        </w:tc>
        <w:tc>
          <w:tcPr>
            <w:tcW w:w="66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4"/>
            <w:vMerge w:val="continue"/>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change in unrealized cash</w:t>
            </w:r>
          </w:p>
        </w:tc>
        <w:tc>
          <w:tcPr>
            <w:tcW w:w="66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9"/>
                <w:szCs w:val="9"/>
                <w:color w:val="auto"/>
              </w:rPr>
            </w:pPr>
          </w:p>
        </w:tc>
        <w:tc>
          <w:tcPr>
            <w:tcW w:w="40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12,607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12,607</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9,299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21,906</w:t>
            </w:r>
          </w:p>
        </w:tc>
        <w:tc>
          <w:tcPr>
            <w:tcW w:w="0" w:type="dxa"/>
            <w:vAlign w:val="bottom"/>
          </w:tcPr>
          <w:p>
            <w:pPr>
              <w:spacing w:after="0"/>
              <w:rPr>
                <w:sz w:val="1"/>
                <w:szCs w:val="1"/>
                <w:color w:val="auto"/>
              </w:rPr>
            </w:pPr>
          </w:p>
        </w:tc>
      </w:tr>
      <w:tr>
        <w:trPr>
          <w:trHeight w:val="157"/>
        </w:trPr>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flow hedges gains</w:t>
            </w:r>
          </w:p>
        </w:tc>
        <w:tc>
          <w:tcPr>
            <w:tcW w:w="660" w:type="dxa"/>
            <w:vAlign w:val="bottom"/>
            <w:gridSpan w:val="4"/>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gridSpan w:val="4"/>
            <w:vMerge w:val="continue"/>
            <w:shd w:val="clear" w:color="auto" w:fill="CCEEFF"/>
          </w:tcPr>
          <w:p>
            <w:pPr>
              <w:spacing w:after="0"/>
              <w:rPr>
                <w:sz w:val="13"/>
                <w:szCs w:val="13"/>
                <w:color w:val="auto"/>
              </w:rPr>
            </w:pPr>
          </w:p>
        </w:tc>
        <w:tc>
          <w:tcPr>
            <w:tcW w:w="62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2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Dividends ($0.24 per share of</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2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Class A common stock and</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2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participating Restricted Stock</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2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Units and Restricted Stock</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2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Awards) and distributions from</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2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Virtu Financial to</w:t>
            </w:r>
          </w:p>
        </w:tc>
        <w:tc>
          <w:tcPr>
            <w:tcW w:w="66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4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(30,147)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(30,147)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(159,239)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(189,386)</w:t>
            </w:r>
          </w:p>
        </w:tc>
        <w:tc>
          <w:tcPr>
            <w:tcW w:w="0" w:type="dxa"/>
            <w:vAlign w:val="bottom"/>
          </w:tcPr>
          <w:p>
            <w:pPr>
              <w:spacing w:after="0"/>
              <w:rPr>
                <w:sz w:val="1"/>
                <w:szCs w:val="1"/>
                <w:color w:val="auto"/>
              </w:rPr>
            </w:pPr>
          </w:p>
        </w:tc>
      </w:tr>
      <w:tr>
        <w:trPr>
          <w:trHeight w:val="147"/>
        </w:trPr>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noncontrolling interest</w:t>
            </w:r>
          </w:p>
        </w:tc>
        <w:tc>
          <w:tcPr>
            <w:tcW w:w="66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4"/>
            <w:vMerge w:val="continue"/>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Issuance of common stock in</w:t>
            </w: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20" w:type="dxa"/>
            <w:vAlign w:val="bottom"/>
            <w:gridSpan w:val="2"/>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connection with employee</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91,757</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gridSpan w:val="4"/>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7"/>
        </w:trPr>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exchanges</w:t>
            </w:r>
          </w:p>
        </w:tc>
        <w:tc>
          <w:tcPr>
            <w:tcW w:w="56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gridSpan w:val="4"/>
            <w:vMerge w:val="continue"/>
            <w:shd w:val="clear" w:color="auto" w:fill="CCEEFF"/>
          </w:tcPr>
          <w:p>
            <w:pPr>
              <w:spacing w:after="0"/>
              <w:rPr>
                <w:sz w:val="13"/>
                <w:szCs w:val="13"/>
                <w:color w:val="auto"/>
              </w:rPr>
            </w:pPr>
          </w:p>
        </w:tc>
        <w:tc>
          <w:tcPr>
            <w:tcW w:w="62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3"/>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2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Repurchase of Virtu Financial</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2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Units and corresponding</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2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number of Class C common</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20" w:type="dxa"/>
            <w:vAlign w:val="bottom"/>
            <w:gridSpan w:val="2"/>
          </w:tcPr>
          <w:p>
            <w:pPr>
              <w:ind w:left="140"/>
              <w:spacing w:after="0" w:line="105" w:lineRule="exact"/>
              <w:rPr>
                <w:sz w:val="20"/>
                <w:szCs w:val="20"/>
                <w:color w:val="auto"/>
              </w:rPr>
            </w:pPr>
            <w:r>
              <w:rPr>
                <w:rFonts w:ascii="Times New Roman" w:cs="Times New Roman" w:eastAsia="Times New Roman" w:hAnsi="Times New Roman"/>
                <w:sz w:val="10"/>
                <w:szCs w:val="10"/>
                <w:color w:val="auto"/>
              </w:rPr>
              <w:t>stock in connection with</w:t>
            </w:r>
          </w:p>
        </w:tc>
        <w:tc>
          <w:tcPr>
            <w:tcW w:w="66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4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color w:val="auto"/>
              </w:rPr>
              <w:t>(91,757)</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0"/>
        </w:trPr>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employee exchanges</w:t>
            </w:r>
          </w:p>
        </w:tc>
        <w:tc>
          <w:tcPr>
            <w:tcW w:w="66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gridSpan w:val="4"/>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at March 31, 2021</w:t>
            </w:r>
          </w:p>
        </w:tc>
        <w:tc>
          <w:tcPr>
            <w:tcW w:w="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9"/>
              </w:rPr>
              <w:t>127,154,019</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10,135,182</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top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60,091,740</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(5,892,506)</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(152,282)</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1,190,950</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615,580</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(15,045)</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1,639,205</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404,874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2,044,079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(Unaudited).</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74295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60"/>
          </w:cols>
          <w:pgMar w:left="420" w:top="121"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(Unaudited)</w:t>
      </w:r>
    </w:p>
    <w:p>
      <w:pPr>
        <w:spacing w:after="0" w:line="344" w:lineRule="exact"/>
        <w:rPr>
          <w:sz w:val="20"/>
          <w:szCs w:val="20"/>
          <w:color w:val="auto"/>
        </w:rPr>
      </w:pPr>
    </w:p>
    <w:tbl>
      <w:tblPr>
        <w:tblLayout w:type="fixed"/>
        <w:tblInd w:w="84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6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199,925</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409,232</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16,778</w:t>
            </w:r>
          </w:p>
        </w:tc>
        <w:tc>
          <w:tcPr>
            <w:tcW w:w="0" w:type="dxa"/>
            <w:vAlign w:val="bottom"/>
          </w:tcPr>
          <w:p>
            <w:pPr>
              <w:spacing w:after="0"/>
              <w:rPr>
                <w:sz w:val="1"/>
                <w:szCs w:val="1"/>
                <w:color w:val="auto"/>
              </w:rPr>
            </w:pPr>
          </w:p>
        </w:tc>
      </w:tr>
      <w:tr>
        <w:trPr>
          <w:trHeight w:val="189"/>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18,077</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Debt issue cost related to debt refinancing and prepayment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9"/>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Amortization of debt issuance costs and deferred financing fees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0" w:type="dxa"/>
            <w:vAlign w:val="bottom"/>
          </w:tcPr>
          <w:p>
            <w:pPr>
              <w:spacing w:after="0"/>
              <w:rPr>
                <w:sz w:val="1"/>
                <w:szCs w:val="1"/>
                <w:color w:val="auto"/>
              </w:rPr>
            </w:pPr>
          </w:p>
        </w:tc>
      </w:tr>
      <w:tr>
        <w:trPr>
          <w:trHeight w:val="189"/>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Share-based compensation</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12,778</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taxes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10,035</w:t>
            </w:r>
          </w:p>
        </w:tc>
        <w:tc>
          <w:tcPr>
            <w:tcW w:w="0" w:type="dxa"/>
            <w:vAlign w:val="bottom"/>
          </w:tcPr>
          <w:p>
            <w:pPr>
              <w:spacing w:after="0"/>
              <w:rPr>
                <w:sz w:val="1"/>
                <w:szCs w:val="1"/>
                <w:color w:val="auto"/>
              </w:rPr>
            </w:pPr>
          </w:p>
        </w:tc>
      </w:tr>
      <w:tr>
        <w:trPr>
          <w:trHeight w:val="189"/>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Securities borrowed</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(350,902)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40,882</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(40,699)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(13,205)</w:t>
            </w: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(475,141)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27,659</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Trading assets, at fair value</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(1,713,357)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(790,310)</w:t>
            </w: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Receivables from customers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(183,902)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(301,041)</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16,837</w:t>
            </w: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25,781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76,694</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Securities loaned</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126,329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243,359</w:t>
            </w: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(51,071)</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Payables to broker-dealers and clearing organizations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411,069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225,268</w:t>
            </w: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Payables to customers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228,358</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Trading liabilities, at fair value</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1,594,220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61,025</w:t>
            </w: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(16,450)</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(73,192)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(83,712)</w:t>
            </w:r>
          </w:p>
        </w:tc>
        <w:tc>
          <w:tcPr>
            <w:tcW w:w="0" w:type="dxa"/>
            <w:vAlign w:val="bottom"/>
          </w:tcPr>
          <w:p>
            <w:pPr>
              <w:spacing w:after="0"/>
              <w:rPr>
                <w:sz w:val="1"/>
                <w:szCs w:val="1"/>
                <w:color w:val="auto"/>
              </w:rPr>
            </w:pPr>
          </w:p>
        </w:tc>
      </w:tr>
      <w:tr>
        <w:trPr>
          <w:trHeight w:val="183"/>
        </w:trPr>
        <w:tc>
          <w:tcPr>
            <w:tcW w:w="70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(255,185)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133,890</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Development of capitalized software</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(20,048)</w:t>
            </w: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Acquisition of property and equipment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(3,488)</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0" w:type="dxa"/>
            <w:vAlign w:val="bottom"/>
          </w:tcPr>
          <w:p>
            <w:pPr>
              <w:spacing w:after="0"/>
              <w:rPr>
                <w:sz w:val="1"/>
                <w:szCs w:val="1"/>
                <w:color w:val="auto"/>
              </w:rPr>
            </w:pPr>
          </w:p>
        </w:tc>
      </w:tr>
      <w:tr>
        <w:trPr>
          <w:trHeight w:val="183"/>
        </w:trPr>
        <w:tc>
          <w:tcPr>
            <w:tcW w:w="70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(25,642)</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to stockholders and distributions from Virtu Financial to noncontrolling interest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(125,805)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(189,386)</w:t>
            </w: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Repurchase of Class C common stock</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(77,093)</w:t>
            </w: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 options exercised</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Short-term borrowings, net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78,945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177,920</w:t>
            </w: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long term borrowings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(1,599,774)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Tax receivable agreement obligations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 issuance costs</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(35,827)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0" w:type="dxa"/>
            <w:vAlign w:val="bottom"/>
          </w:tcPr>
          <w:p>
            <w:pPr>
              <w:spacing w:after="0"/>
              <w:rPr>
                <w:sz w:val="1"/>
                <w:szCs w:val="1"/>
                <w:color w:val="auto"/>
              </w:rPr>
            </w:pPr>
          </w:p>
        </w:tc>
      </w:tr>
      <w:tr>
        <w:trPr>
          <w:trHeight w:val="183"/>
        </w:trPr>
        <w:tc>
          <w:tcPr>
            <w:tcW w:w="70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(212,882)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(89,744)</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(3,676)</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(508,265)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14,828</w:t>
            </w:r>
          </w:p>
        </w:tc>
        <w:tc>
          <w:tcPr>
            <w:tcW w:w="0" w:type="dxa"/>
            <w:vAlign w:val="bottom"/>
          </w:tcPr>
          <w:p>
            <w:pPr>
              <w:spacing w:after="0"/>
              <w:rPr>
                <w:sz w:val="1"/>
                <w:szCs w:val="1"/>
                <w:color w:val="auto"/>
              </w:rPr>
            </w:pPr>
          </w:p>
        </w:tc>
      </w:tr>
      <w:tr>
        <w:trPr>
          <w:trHeight w:val="197"/>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or segregated cash, beginning of period</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1,120,953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1,007,005</w:t>
            </w:r>
          </w:p>
        </w:tc>
        <w:tc>
          <w:tcPr>
            <w:tcW w:w="0" w:type="dxa"/>
            <w:vAlign w:val="bottom"/>
          </w:tcPr>
          <w:p>
            <w:pPr>
              <w:spacing w:after="0"/>
              <w:rPr>
                <w:sz w:val="1"/>
                <w:szCs w:val="1"/>
                <w:color w:val="auto"/>
              </w:rPr>
            </w:pPr>
          </w:p>
        </w:tc>
      </w:tr>
      <w:tr>
        <w:trPr>
          <w:trHeight w:val="196"/>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or segregated cash, end of period</w:t>
            </w: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612,688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1,021,833</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Supplementary disclosure of cash flow information</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interest</w:t>
            </w: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49,277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20"/>
          </w:cols>
          <w:pgMar w:left="320" w:top="121" w:right="11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84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080" w:type="dxa"/>
            <w:vAlign w:val="bottom"/>
            <w:gridSpan w:val="2"/>
            <w:vMerge w:val="continue"/>
          </w:tcPr>
          <w:p>
            <w:pPr>
              <w:spacing w:after="0"/>
              <w:rPr>
                <w:sz w:val="15"/>
                <w:szCs w:val="15"/>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69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Cash paid for taxes</w:t>
            </w:r>
          </w:p>
        </w:tc>
        <w:tc>
          <w:tcPr>
            <w:tcW w:w="10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13,791</w:t>
            </w:r>
          </w:p>
        </w:tc>
        <w:tc>
          <w:tcPr>
            <w:tcW w:w="10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25,714</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and accrued incentive compensation to developers relating to capitalized software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4,092</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4,387</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(Unaudited).</w:t>
      </w: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20"/>
          </w:cols>
          <w:pgMar w:left="320" w:top="121" w:right="11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(Unaudited)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shares and per share amounts, unless otherwise noted)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Basis of Presentation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Organization</w:t>
      </w:r>
    </w:p>
    <w:p>
      <w:pPr>
        <w:spacing w:after="0" w:line="254"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March 31, 2022, VFI owned approximately 61.4% of the membership interests of Virtu Financial. VFI is the sole managing member of Virtu Financial and operates and controls all of the businesses and affairs of Virtu Financial and its subsidiaries (the “Group”).</w:t>
      </w:r>
    </w:p>
    <w:p>
      <w:pPr>
        <w:spacing w:after="0" w:line="194" w:lineRule="exact"/>
        <w:rPr>
          <w:sz w:val="20"/>
          <w:szCs w:val="20"/>
          <w:color w:val="auto"/>
        </w:rPr>
      </w:pPr>
    </w:p>
    <w:p>
      <w:pPr>
        <w:ind w:right="80" w:firstLine="629"/>
        <w:spacing w:after="0" w:line="263" w:lineRule="auto"/>
        <w:rPr>
          <w:sz w:val="20"/>
          <w:szCs w:val="20"/>
          <w:color w:val="auto"/>
        </w:rPr>
      </w:pPr>
      <w:r>
        <w:rPr>
          <w:rFonts w:ascii="Times New Roman" w:cs="Times New Roman" w:eastAsia="Times New Roman" w:hAnsi="Times New Roman"/>
          <w:sz w:val="17"/>
          <w:szCs w:val="17"/>
          <w:color w:val="auto"/>
        </w:rPr>
        <w:t>The Company is a leading financial firm that leverages cutting edge technology to deliver liquidity to the global markets and innovative, transparent trading solutions to its clients. The Company provides deep liquidity in over 25,000 financial instruments, on over 235 venues, in 36 countries worldwide to help create more efficient markets. Leveraging its global market structure expertise and scaled, multi-asset infrastructure, the Company provides its clients with a robust product suite including offerings in execution, liquidity sourcing, analytics and broker-neutral, multi-dealer platforms in workflow technology. The Company’s product offerings allow its clients to trade on hundreds of venues in over 50 countries and across multiple asset classes, including global equities, Exchange-Traded Funds ("ETFs"), foreign exchange, futures, fixed income, cryptocurrencies, and other commodities. The Company’s integrated, multi-asset analytics platform provides a range of pre- and post-trade services, data products and compliance tools that its clients rely upon to invest, trade and manage risk across global markets.</w:t>
      </w:r>
    </w:p>
    <w:p>
      <w:pPr>
        <w:spacing w:after="0" w:line="200" w:lineRule="exact"/>
        <w:rPr>
          <w:sz w:val="20"/>
          <w:szCs w:val="20"/>
          <w:color w:val="auto"/>
        </w:rPr>
      </w:pPr>
    </w:p>
    <w:p>
      <w:pPr>
        <w:spacing w:after="0" w:line="213" w:lineRule="exact"/>
        <w:rPr>
          <w:sz w:val="20"/>
          <w:szCs w:val="20"/>
          <w:color w:val="auto"/>
        </w:rPr>
      </w:pPr>
    </w:p>
    <w:p>
      <w:pPr>
        <w:ind w:right="340" w:firstLine="629"/>
        <w:spacing w:after="0" w:line="270" w:lineRule="auto"/>
        <w:rPr>
          <w:sz w:val="20"/>
          <w:szCs w:val="20"/>
          <w:color w:val="auto"/>
        </w:rPr>
      </w:pPr>
      <w:r>
        <w:rPr>
          <w:rFonts w:ascii="Times New Roman" w:cs="Times New Roman" w:eastAsia="Times New Roman" w:hAnsi="Times New Roman"/>
          <w:sz w:val="17"/>
          <w:szCs w:val="17"/>
          <w:color w:val="auto"/>
        </w:rPr>
        <w:t>The Company has completed two significant acquisitions over the past five years that have expanded and complemented Virtu Financial's original electronic trading and marking making business. On July 20, 2017, the Company completed the all-cash acquisition of KCG Holdings, Inc. (“KCG”) (the “Acquisition of KCG”). On March 1, 2019 (the “ITG Closing Date”), the Company completed the acquisition of Investment Technology Group, Inc. and its subsidiaries (“ITG”) in an all-cash transaction (the “ITG Acquisition”). ITG's business contributes to the Company's Execution Services segment.</w:t>
      </w:r>
    </w:p>
    <w:p>
      <w:pPr>
        <w:spacing w:after="0" w:line="194" w:lineRule="exact"/>
        <w:rPr>
          <w:sz w:val="20"/>
          <w:szCs w:val="20"/>
          <w:color w:val="auto"/>
        </w:rPr>
      </w:pPr>
    </w:p>
    <w:p>
      <w:pPr>
        <w:ind w:right="140" w:firstLine="629"/>
        <w:spacing w:after="0" w:line="262" w:lineRule="auto"/>
        <w:rPr>
          <w:sz w:val="20"/>
          <w:szCs w:val="20"/>
          <w:color w:val="auto"/>
        </w:rPr>
      </w:pPr>
      <w:r>
        <w:rPr>
          <w:rFonts w:ascii="Times New Roman" w:cs="Times New Roman" w:eastAsia="Times New Roman" w:hAnsi="Times New Roman"/>
          <w:sz w:val="17"/>
          <w:szCs w:val="17"/>
          <w:color w:val="auto"/>
        </w:rPr>
        <w:t>Virtu Financial’s principal United States ("U.S.") subsidiary is Virtu Americas LLC (“VAL”), which is a U.S. broker-dealer. Other principal U.S. subsidiaries include Virtu Financial Global Markets LLC, a U.S. trading entity focused on futures and currencies; Virtu ITG Analytics LLC, a provider of pre-and post-trade analysis, fair value, and trade optimization services; and Virtu ITG Platforms LLC, a provider of workflow technology solutions and network connectivity services. Principal foreign subsidiaries include Virtu Financial Ireland Limited ("VFIL") and Virtu ITG Europe Limited ("VIEL"), each formed in Ireland; Virtu ITG UK Limited ("VIUK"), formed in the United Kingdom; Virtu ITG Canada Corp. and Virtu Financial Canada ULC, each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spacing w:after="0" w:line="205" w:lineRule="exact"/>
        <w:rPr>
          <w:sz w:val="20"/>
          <w:szCs w:val="20"/>
          <w:color w:val="auto"/>
        </w:rPr>
      </w:pPr>
    </w:p>
    <w:p>
      <w:pPr>
        <w:ind w:right="280" w:firstLine="629"/>
        <w:spacing w:after="0" w:line="296" w:lineRule="auto"/>
        <w:rPr>
          <w:sz w:val="20"/>
          <w:szCs w:val="20"/>
          <w:color w:val="auto"/>
        </w:rPr>
      </w:pPr>
      <w:r>
        <w:rPr>
          <w:rFonts w:ascii="Times New Roman" w:cs="Times New Roman" w:eastAsia="Times New Roman" w:hAnsi="Times New Roman"/>
          <w:sz w:val="17"/>
          <w:szCs w:val="17"/>
          <w:color w:val="auto"/>
        </w:rPr>
        <w:t>The Company has two operating segments: (i) Market Making and (ii) Execution Services; and one non-operating segment: Corporate. See Note 20 "Geographic Information and Business Segments" for a further discussion of the Company’s segments.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Consolidation and Form of Presentation</w:t>
      </w:r>
    </w:p>
    <w:p>
      <w:pPr>
        <w:spacing w:after="0" w:line="241" w:lineRule="exact"/>
        <w:rPr>
          <w:sz w:val="20"/>
          <w:szCs w:val="20"/>
          <w:color w:val="auto"/>
        </w:rPr>
      </w:pPr>
    </w:p>
    <w:p>
      <w:pPr>
        <w:ind w:firstLine="629"/>
        <w:spacing w:after="0" w:line="243" w:lineRule="auto"/>
        <w:rPr>
          <w:sz w:val="20"/>
          <w:szCs w:val="20"/>
          <w:color w:val="auto"/>
        </w:rPr>
      </w:pPr>
      <w:r>
        <w:rPr>
          <w:rFonts w:ascii="Times New Roman" w:cs="Times New Roman" w:eastAsia="Times New Roman" w:hAnsi="Times New Roman"/>
          <w:sz w:val="17"/>
          <w:szCs w:val="17"/>
          <w:color w:val="auto"/>
        </w:rPr>
        <w:t>These condensed consolidated financial statements are presented in U.S. dollars, have been prepared pursuant to the rules and regulations of the U.S. Securities and Exchange Commission (“SEC”) regarding financial reporting with respect to Form 10-Q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 of the results for the periods presented. Certain information and footnote disclosures normally included in financial statements prepared in accordance with U.S. GAAP have been condensed or omitted in accordance with SEC rules and regulations. The condensed consolidated financial statements are unaudited and should be read in conjunction with the audited consolidated financial statements included in the Company’s Annual Report on Form 10-K for the year ended December 31, 2021. The condensed consolidated financial statements of the Company include its equity interests in Virtu Financial and its subsidiaries. As sole managing member of Virtu Financial, the Company exerts control over the Group’s operations. The Company consolidates Virtu Financial and its subsidiaries’ financial statements and records the interests in Virtu Financial that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does not own as noncontrolling interests. All intercompany accounts and transactions have been eliminated in consolidation.</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34" w:lineRule="exact"/>
        <w:rPr>
          <w:sz w:val="20"/>
          <w:szCs w:val="20"/>
          <w:color w:val="auto"/>
        </w:rPr>
      </w:pPr>
    </w:p>
    <w:p>
      <w:pPr>
        <w:ind w:right="820" w:firstLine="629"/>
        <w:spacing w:after="0" w:line="274" w:lineRule="auto"/>
        <w:rPr>
          <w:sz w:val="20"/>
          <w:szCs w:val="20"/>
          <w:color w:val="auto"/>
        </w:rPr>
      </w:pPr>
      <w:r>
        <w:rPr>
          <w:rFonts w:ascii="Times New Roman" w:cs="Times New Roman" w:eastAsia="Times New Roman" w:hAnsi="Times New Roman"/>
          <w:sz w:val="17"/>
          <w:szCs w:val="17"/>
          <w:color w:val="auto"/>
        </w:rPr>
        <w:t>For a detailed discussion of the Company's significant accounting policies, see Note 2 "Summary of Significant Accounting Policies" in our consolidated financial statements included in Part II, Item 8 of our Annual Report on Form 10-K for the year ended December 31,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Pronouncements, Recently Adopted</w:t>
      </w:r>
    </w:p>
    <w:p>
      <w:pPr>
        <w:spacing w:after="0" w:line="248" w:lineRule="exact"/>
        <w:rPr>
          <w:sz w:val="20"/>
          <w:szCs w:val="20"/>
          <w:color w:val="auto"/>
        </w:rPr>
      </w:pPr>
    </w:p>
    <w:p>
      <w:pPr>
        <w:ind w:right="2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Convertible Instruments </w:t>
      </w:r>
      <w:r>
        <w:rPr>
          <w:rFonts w:ascii="Times New Roman" w:cs="Times New Roman" w:eastAsia="Times New Roman" w:hAnsi="Times New Roman"/>
          <w:sz w:val="17"/>
          <w:szCs w:val="17"/>
          <w:color w:val="auto"/>
        </w:rPr>
        <w:t>- In August 2020, the FASB issued ASU 2020-06,</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Debt - Debt with Conversion and Other Options (Subtopic 470-20)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 xml:space="preserve">Derivatives and Hedging - Contracts in Entity's Own Equity (Subtopic 815-40). </w:t>
      </w:r>
      <w:r>
        <w:rPr>
          <w:rFonts w:ascii="Times New Roman" w:cs="Times New Roman" w:eastAsia="Times New Roman" w:hAnsi="Times New Roman"/>
          <w:sz w:val="17"/>
          <w:szCs w:val="17"/>
          <w:color w:val="auto"/>
        </w:rPr>
        <w:t>The ASU simplifies accounting for certain financial instruments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characteristics of liabilities and equity, including convertible instruments and contracts in an entity's own equity and updates selected earnings per share ("EPS") guidance. The Company adopted this ASU on January 1, 2022 and it did not have a material impact on its condensed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Pronouncements, Not Yet Adopted as of March 31, 2022</w:t>
      </w:r>
    </w:p>
    <w:p>
      <w:pPr>
        <w:spacing w:after="0" w:line="248"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Reference Rate Reform </w:t>
      </w:r>
      <w:r>
        <w:rPr>
          <w:rFonts w:ascii="Times New Roman" w:cs="Times New Roman" w:eastAsia="Times New Roman" w:hAnsi="Times New Roman"/>
          <w:sz w:val="17"/>
          <w:szCs w:val="17"/>
          <w:color w:val="auto"/>
        </w:rPr>
        <w:t>- In March 2020, the FASB issued ASU 2020-04,</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Reference Rate Reform (Topic 848): Facilitation of the Effects of Reference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Rate Reform on Financial Reporting</w:t>
      </w:r>
      <w:r>
        <w:rPr>
          <w:rFonts w:ascii="Times New Roman" w:cs="Times New Roman" w:eastAsia="Times New Roman" w:hAnsi="Times New Roman"/>
          <w:sz w:val="17"/>
          <w:szCs w:val="17"/>
          <w:color w:val="auto"/>
        </w:rPr>
        <w:t>, which is designed to ease the potential burden in accounting for the transition away from LIBOR. The ASU applies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contracts, hedging relationships, and other transactions that reference LIBOR or another reference rate expected to be discontinued and replaced with alternative reference rates as a result of reference rate reform. The ASU provides optional expedients and exceptions for applying U.S. GAAP to contracts, hedging relationships, and other transactions affected by reference rate reform if certain criteria are met. The ASU is effective for all entities as of March 12, 2020 through December 31, 2022. In January 2021, the FASB issued ASU 2021-01, </w:t>
      </w:r>
      <w:r>
        <w:rPr>
          <w:rFonts w:ascii="Times New Roman" w:cs="Times New Roman" w:eastAsia="Times New Roman" w:hAnsi="Times New Roman"/>
          <w:sz w:val="17"/>
          <w:szCs w:val="17"/>
          <w:i w:val="1"/>
          <w:iCs w:val="1"/>
          <w:color w:val="auto"/>
        </w:rPr>
        <w:t>Reference Rate Reform (Topic 848): Scope,</w:t>
      </w:r>
      <w:r>
        <w:rPr>
          <w:rFonts w:ascii="Times New Roman" w:cs="Times New Roman" w:eastAsia="Times New Roman" w:hAnsi="Times New Roman"/>
          <w:sz w:val="17"/>
          <w:szCs w:val="17"/>
          <w:color w:val="auto"/>
        </w:rPr>
        <w:t xml:space="preserve"> which expands the scope of Topic 848 to include derivative instruments that are affected by changes in the interest rates used for margining, discounting or contract price alignment as part of the market transition to new reference rates (the "discounting transition"). The Company is evaluating the impact of these ASUs, but does not expect them to have a material impact on its Condensed Consolidated Financial Statements and related disclosures.</w:t>
      </w:r>
    </w:p>
    <w:p>
      <w:pPr>
        <w:spacing w:after="0" w:line="201" w:lineRule="exact"/>
        <w:rPr>
          <w:sz w:val="20"/>
          <w:szCs w:val="20"/>
          <w:color w:val="auto"/>
        </w:rPr>
      </w:pPr>
    </w:p>
    <w:p>
      <w:pPr>
        <w:ind w:right="18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Derivatives and Hedging </w:t>
      </w:r>
      <w:r>
        <w:rPr>
          <w:rFonts w:ascii="Times New Roman" w:cs="Times New Roman" w:eastAsia="Times New Roman" w:hAnsi="Times New Roman"/>
          <w:sz w:val="17"/>
          <w:szCs w:val="17"/>
          <w:color w:val="auto"/>
        </w:rPr>
        <w:t>- In March 2022, the FASB issued ASU 2022-01,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Derivatives and Hedging - Fair Value Hedging - Portfolio Layer Method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(Topic 815)</w:t>
      </w:r>
      <w:r>
        <w:rPr>
          <w:rFonts w:ascii="Times New Roman" w:cs="Times New Roman" w:eastAsia="Times New Roman" w:hAnsi="Times New Roman"/>
          <w:sz w:val="17"/>
          <w:szCs w:val="17"/>
          <w:color w:val="auto"/>
        </w:rPr>
        <w:t>. The ASU expands the scope of permissible hedging, and permits the use of different derivative structures as hedging instruments. The ASU also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clarifies the certain terms for partial-term fair value hedges of interest rate risk. This ASU is effective for periods beginning after December 15, 2022. The Company is currently evaluating the impact of this ASU but does not expect it to have a material impact on its condensed consolidated financial statements.</w:t>
      </w:r>
    </w:p>
    <w:p>
      <w:pPr>
        <w:spacing w:after="0" w:line="188" w:lineRule="exact"/>
        <w:rPr>
          <w:sz w:val="20"/>
          <w:szCs w:val="20"/>
          <w:color w:val="auto"/>
        </w:rPr>
      </w:pPr>
    </w:p>
    <w:p>
      <w:pPr>
        <w:ind w:right="80" w:firstLine="62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Financial Instruments - Credit Losses </w:t>
      </w:r>
      <w:r>
        <w:rPr>
          <w:rFonts w:ascii="Times New Roman" w:cs="Times New Roman" w:eastAsia="Times New Roman" w:hAnsi="Times New Roman"/>
          <w:sz w:val="17"/>
          <w:szCs w:val="17"/>
          <w:color w:val="auto"/>
        </w:rPr>
        <w:t>- In March 2022, the FASB issued ASU 2022-02,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Financial Instruments - Credit Losses (Topic 326)</w:t>
      </w:r>
      <w:r>
        <w:rPr>
          <w:rFonts w:ascii="Times New Roman" w:cs="Times New Roman" w:eastAsia="Times New Roman" w:hAnsi="Times New Roman"/>
          <w:sz w:val="17"/>
          <w:szCs w:val="17"/>
          <w:color w:val="auto"/>
        </w:rPr>
        <w:t>. The ASU</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eliminates the accounting guidance for trouble debt restructurings by creditors in Subtopic 310-40, and enhances the disclosure requirements for modifications of loans to borrowers experiencing financial difficulty. Additionally, the ASU requires disclosure of gross writeoffs of receivables by year of origination for receivables within the scope of Subtopic 326-20, </w:t>
      </w:r>
      <w:r>
        <w:rPr>
          <w:rFonts w:ascii="Times New Roman" w:cs="Times New Roman" w:eastAsia="Times New Roman" w:hAnsi="Times New Roman"/>
          <w:sz w:val="17"/>
          <w:szCs w:val="17"/>
          <w:i w:val="1"/>
          <w:iCs w:val="1"/>
          <w:color w:val="auto"/>
        </w:rPr>
        <w:t>Financial Instruments - Credit Losses - Measured at Amortized Cost</w:t>
      </w:r>
      <w:r>
        <w:rPr>
          <w:rFonts w:ascii="Times New Roman" w:cs="Times New Roman" w:eastAsia="Times New Roman" w:hAnsi="Times New Roman"/>
          <w:sz w:val="17"/>
          <w:szCs w:val="17"/>
          <w:color w:val="auto"/>
        </w:rPr>
        <w:t>. This ASU is effective for periods beginning after December 15, 2022. The Company is currently evaluating the impact of this ASU but does not expect it to have a material impact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Earnings per Share</w:t>
      </w:r>
    </w:p>
    <w:p>
      <w:pPr>
        <w:spacing w:after="0" w:line="252" w:lineRule="exact"/>
        <w:rPr>
          <w:sz w:val="20"/>
          <w:szCs w:val="20"/>
          <w:color w:val="auto"/>
        </w:rPr>
      </w:pPr>
    </w:p>
    <w:p>
      <w:pPr>
        <w:ind w:firstLine="629"/>
        <w:spacing w:after="0" w:line="277" w:lineRule="auto"/>
        <w:rPr>
          <w:sz w:val="20"/>
          <w:szCs w:val="20"/>
          <w:color w:val="auto"/>
        </w:rPr>
      </w:pPr>
      <w:r>
        <w:rPr>
          <w:rFonts w:ascii="Times New Roman" w:cs="Times New Roman" w:eastAsia="Times New Roman" w:hAnsi="Times New Roman"/>
          <w:sz w:val="17"/>
          <w:szCs w:val="17"/>
          <w:color w:val="auto"/>
        </w:rPr>
        <w:t>The below table contains a reconciliation of Net income before income taxes and noncontrolling interest to Net income available for common stockholders:</w:t>
      </w:r>
    </w:p>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7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20" w:type="dxa"/>
            <w:vAlign w:val="bottom"/>
          </w:tcPr>
          <w:p>
            <w:pPr>
              <w:spacing w:after="0"/>
              <w:rPr>
                <w:sz w:val="2"/>
                <w:szCs w:val="2"/>
                <w:color w:val="auto"/>
              </w:rPr>
            </w:pPr>
          </w:p>
        </w:tc>
        <w:tc>
          <w:tcPr>
            <w:tcW w:w="5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rPr>
                <w:sz w:val="15"/>
                <w:szCs w:val="15"/>
                <w:color w:val="auto"/>
              </w:rPr>
            </w:pPr>
          </w:p>
        </w:tc>
        <w:tc>
          <w:tcPr>
            <w:tcW w:w="598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241,711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489,787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5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41,786</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80,555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199,925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409,232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(87,668)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59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available for common stockholders</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112,257</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239,405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The calculation of basic and diluted earnings per share is presented below:</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670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20" w:type="dxa"/>
            <w:vAlign w:val="bottom"/>
          </w:tcPr>
          <w:p>
            <w:pPr>
              <w:spacing w:after="0"/>
              <w:rPr>
                <w:sz w:val="2"/>
                <w:szCs w:val="2"/>
                <w:color w:val="auto"/>
              </w:rPr>
            </w:pPr>
          </w:p>
        </w:tc>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for share or per share data)</w:t>
            </w: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rPr>
                <w:sz w:val="15"/>
                <w:szCs w:val="15"/>
                <w:color w:val="auto"/>
              </w:rPr>
            </w:pPr>
          </w:p>
        </w:tc>
        <w:tc>
          <w:tcPr>
            <w:tcW w:w="59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20" w:type="dxa"/>
            <w:vAlign w:val="bottom"/>
            <w:tcBorders>
              <w:right w:val="single" w:sz="8" w:color="CCEEFF"/>
            </w:tcBorders>
          </w:tcPr>
          <w:p>
            <w:pPr>
              <w:spacing w:after="0"/>
              <w:rPr>
                <w:sz w:val="17"/>
                <w:szCs w:val="17"/>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earnings per share:</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available for common stockholders</w:t>
            </w:r>
          </w:p>
        </w:tc>
        <w:tc>
          <w:tcPr>
            <w:tcW w:w="2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112,257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20" w:type="dxa"/>
            <w:vAlign w:val="bottom"/>
            <w:tcBorders>
              <w:right w:val="single" w:sz="8" w:color="CCEEFF"/>
            </w:tcBorders>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Dividends and undistributed earnings allocated to participating securities</w:t>
            </w: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(3,859)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(6,312)</w:t>
            </w:r>
          </w:p>
        </w:tc>
        <w:tc>
          <w:tcPr>
            <w:tcW w:w="0" w:type="dxa"/>
            <w:vAlign w:val="bottom"/>
          </w:tcPr>
          <w:p>
            <w:pPr>
              <w:spacing w:after="0"/>
              <w:rPr>
                <w:sz w:val="1"/>
                <w:szCs w:val="1"/>
                <w:color w:val="auto"/>
              </w:rPr>
            </w:pPr>
          </w:p>
        </w:tc>
      </w:tr>
      <w:tr>
        <w:trPr>
          <w:trHeight w:val="115"/>
        </w:trPr>
        <w:tc>
          <w:tcPr>
            <w:tcW w:w="720" w:type="dxa"/>
            <w:vAlign w:val="bottom"/>
          </w:tcPr>
          <w:p>
            <w:pPr>
              <w:spacing w:after="0"/>
              <w:rPr>
                <w:sz w:val="9"/>
                <w:szCs w:val="9"/>
                <w:color w:val="auto"/>
              </w:rPr>
            </w:pPr>
          </w:p>
        </w:tc>
        <w:tc>
          <w:tcPr>
            <w:tcW w:w="5980" w:type="dxa"/>
            <w:vAlign w:val="bottom"/>
            <w:gridSpan w:val="2"/>
          </w:tcPr>
          <w:p>
            <w:pPr>
              <w:spacing w:after="0" w:line="115" w:lineRule="exact"/>
              <w:rPr>
                <w:sz w:val="20"/>
                <w:szCs w:val="20"/>
                <w:color w:val="auto"/>
              </w:rPr>
            </w:pPr>
            <w:r>
              <w:rPr>
                <w:rFonts w:ascii="Times New Roman" w:cs="Times New Roman" w:eastAsia="Times New Roman" w:hAnsi="Times New Roman"/>
                <w:sz w:val="13"/>
                <w:szCs w:val="13"/>
                <w:color w:val="auto"/>
              </w:rPr>
              <w:t>Net income available for common stockholders, net of dividends and undistributed earnings allocated to</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108,398</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233,093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7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participating securities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20" w:type="dxa"/>
            <w:vAlign w:val="bottom"/>
            <w:tcBorders>
              <w:right w:val="single" w:sz="8" w:color="CCEEFF"/>
            </w:tcBorders>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shares of common stock outstanding:</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20" w:type="dxa"/>
            <w:vAlign w:val="bottom"/>
            <w:tcBorders>
              <w:right w:val="single" w:sz="8" w:color="CCEEFF"/>
            </w:tcBorders>
          </w:tcPr>
          <w:p>
            <w:pPr>
              <w:spacing w:after="0"/>
              <w:rPr>
                <w:sz w:val="17"/>
                <w:szCs w:val="17"/>
                <w:color w:val="auto"/>
              </w:rPr>
            </w:pPr>
          </w:p>
        </w:tc>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Class A</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109,329,468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122,062,555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59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gridSpan w:val="2"/>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20" w:type="dxa"/>
            <w:vAlign w:val="bottom"/>
            <w:tcBorders>
              <w:right w:val="single" w:sz="8" w:color="CCEEFF"/>
            </w:tcBorders>
          </w:tcPr>
          <w:p>
            <w:pPr>
              <w:spacing w:after="0"/>
              <w:rPr>
                <w:sz w:val="17"/>
                <w:szCs w:val="17"/>
                <w:color w:val="auto"/>
              </w:rPr>
            </w:pPr>
          </w:p>
        </w:tc>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earnings per share</w:t>
            </w: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0.99</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2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3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20" w:type="dxa"/>
            <w:vAlign w:val="bottom"/>
          </w:tcPr>
          <w:p>
            <w:pPr>
              <w:spacing w:after="0"/>
              <w:rPr>
                <w:sz w:val="2"/>
                <w:szCs w:val="2"/>
                <w:color w:val="auto"/>
              </w:rPr>
            </w:pPr>
          </w:p>
        </w:tc>
        <w:tc>
          <w:tcPr>
            <w:tcW w:w="5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share or per share data)</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rPr>
                <w:sz w:val="15"/>
                <w:szCs w:val="15"/>
                <w:color w:val="auto"/>
              </w:rPr>
            </w:pPr>
          </w:p>
        </w:tc>
        <w:tc>
          <w:tcPr>
            <w:tcW w:w="598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720" w:type="dxa"/>
            <w:vAlign w:val="bottom"/>
          </w:tcPr>
          <w:p>
            <w:pPr>
              <w:spacing w:after="0"/>
              <w:rPr>
                <w:sz w:val="11"/>
                <w:szCs w:val="11"/>
                <w:color w:val="auto"/>
              </w:rPr>
            </w:pPr>
          </w:p>
        </w:tc>
        <w:tc>
          <w:tcPr>
            <w:tcW w:w="59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color w:val="auto"/>
              </w:rPr>
              <w:t>Net income available for common stockholders, net of dividends and undistributed earnings allocated to</w:t>
            </w:r>
          </w:p>
        </w:tc>
        <w:tc>
          <w:tcPr>
            <w:tcW w:w="2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108,398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233,093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participating securities</w:t>
            </w:r>
          </w:p>
        </w:tc>
        <w:tc>
          <w:tcPr>
            <w:tcW w:w="280" w:type="dxa"/>
            <w:vAlign w:val="bottom"/>
            <w:gridSpan w:val="3"/>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59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shares of common stock outstanding:</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20" w:type="dxa"/>
            <w:vAlign w:val="bottom"/>
          </w:tcPr>
          <w:p>
            <w:pPr>
              <w:spacing w:after="0"/>
              <w:rPr>
                <w:sz w:val="17"/>
                <w:szCs w:val="17"/>
                <w:color w:val="auto"/>
              </w:rPr>
            </w:pPr>
          </w:p>
        </w:tc>
        <w:tc>
          <w:tcPr>
            <w:tcW w:w="5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Class A</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Issued and outstanding</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109,329,468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122,062,555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720" w:type="dxa"/>
            <w:vAlign w:val="bottom"/>
          </w:tcPr>
          <w:p>
            <w:pPr>
              <w:spacing w:after="0"/>
              <w:rPr>
                <w:sz w:val="12"/>
                <w:szCs w:val="12"/>
                <w:color w:val="auto"/>
              </w:rPr>
            </w:pPr>
          </w:p>
        </w:tc>
        <w:tc>
          <w:tcPr>
            <w:tcW w:w="5980" w:type="dxa"/>
            <w:vAlign w:val="bottom"/>
            <w:gridSpan w:val="2"/>
            <w:shd w:val="clear" w:color="auto" w:fill="CCEEFF"/>
          </w:tcPr>
          <w:p>
            <w:pPr>
              <w:ind w:left="340"/>
              <w:spacing w:after="0" w:line="138" w:lineRule="exact"/>
              <w:rPr>
                <w:sz w:val="20"/>
                <w:szCs w:val="20"/>
                <w:color w:val="auto"/>
              </w:rPr>
            </w:pPr>
            <w:r>
              <w:rPr>
                <w:rFonts w:ascii="Times New Roman" w:cs="Times New Roman" w:eastAsia="Times New Roman" w:hAnsi="Times New Roman"/>
                <w:sz w:val="14"/>
                <w:szCs w:val="14"/>
                <w:color w:val="auto"/>
              </w:rPr>
              <w:t>Issuable pursuant to Amended and Restated 2015 Management Incentive Plan, Amended and</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5980" w:type="dxa"/>
            <w:vAlign w:val="bottom"/>
            <w:gridSpan w:val="2"/>
            <w:shd w:val="clear" w:color="auto" w:fill="CCEEFF"/>
          </w:tcPr>
          <w:p>
            <w:pPr>
              <w:ind w:left="340"/>
              <w:spacing w:after="0" w:line="135" w:lineRule="exact"/>
              <w:rPr>
                <w:sz w:val="20"/>
                <w:szCs w:val="20"/>
                <w:color w:val="auto"/>
              </w:rPr>
            </w:pPr>
            <w:r>
              <w:rPr>
                <w:rFonts w:ascii="Times New Roman" w:cs="Times New Roman" w:eastAsia="Times New Roman" w:hAnsi="Times New Roman"/>
                <w:sz w:val="14"/>
                <w:szCs w:val="14"/>
                <w:color w:val="auto"/>
              </w:rPr>
              <w:t>Restated Investment Technology Group, Inc. 2007 Omnibus Equity Compensation Plan, and</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737,173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1,326,772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720" w:type="dxa"/>
            <w:vAlign w:val="bottom"/>
          </w:tcPr>
          <w:p>
            <w:pPr>
              <w:spacing w:after="0"/>
              <w:rPr>
                <w:sz w:val="17"/>
                <w:szCs w:val="17"/>
                <w:color w:val="auto"/>
              </w:rPr>
            </w:pPr>
          </w:p>
        </w:tc>
        <w:tc>
          <w:tcPr>
            <w:tcW w:w="59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Warrants issued in connection with the Founder Member Loan</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110,066,641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123,389,327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5980" w:type="dxa"/>
            <w:vAlign w:val="bottom"/>
            <w:gridSpan w:val="2"/>
            <w:shd w:val="clear" w:color="auto" w:fill="CCEEFF"/>
          </w:tcPr>
          <w:p>
            <w:pPr>
              <w:spacing w:after="0"/>
              <w:rPr>
                <w:sz w:val="18"/>
                <w:szCs w:val="18"/>
                <w:color w:val="auto"/>
              </w:rPr>
            </w:pPr>
          </w:p>
        </w:tc>
        <w:tc>
          <w:tcPr>
            <w:tcW w:w="280" w:type="dxa"/>
            <w:vAlign w:val="bottom"/>
            <w:gridSpan w:val="3"/>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00" w:type="dxa"/>
            <w:vAlign w:val="bottom"/>
            <w:gridSpan w:val="2"/>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0" w:type="dxa"/>
            <w:vAlign w:val="bottom"/>
          </w:tcPr>
          <w:p>
            <w:pPr>
              <w:spacing w:after="0"/>
              <w:rPr>
                <w:sz w:val="15"/>
                <w:szCs w:val="15"/>
                <w:color w:val="auto"/>
              </w:rPr>
            </w:pPr>
          </w:p>
        </w:tc>
        <w:tc>
          <w:tcPr>
            <w:tcW w:w="5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540"/>
          </w:cols>
          <w:pgMar w:left="320" w:top="121" w:right="10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Tax Receivable Agreements</w:t>
      </w:r>
    </w:p>
    <w:p>
      <w:pPr>
        <w:spacing w:after="0" w:line="357" w:lineRule="exact"/>
        <w:rPr>
          <w:sz w:val="20"/>
          <w:szCs w:val="20"/>
          <w:color w:val="auto"/>
        </w:rPr>
      </w:pPr>
    </w:p>
    <w:p>
      <w:pPr>
        <w:ind w:right="740" w:firstLine="629"/>
        <w:spacing w:after="0" w:line="296" w:lineRule="auto"/>
        <w:rPr>
          <w:sz w:val="20"/>
          <w:szCs w:val="20"/>
          <w:color w:val="auto"/>
        </w:rPr>
      </w:pPr>
      <w:r>
        <w:rPr>
          <w:rFonts w:ascii="Times New Roman" w:cs="Times New Roman" w:eastAsia="Times New Roman" w:hAnsi="Times New Roman"/>
          <w:sz w:val="17"/>
          <w:szCs w:val="17"/>
          <w:color w:val="auto"/>
        </w:rPr>
        <w:t>For a detailed discussion of the Company's tax receivable agreements, see Note 6 "Tax Receivable Agreements" in our consolidated financial statements included in Part II, Item 8 of our Annual Report on Form 10-K for the year ended December 31, 2021.</w:t>
      </w:r>
    </w:p>
    <w:p>
      <w:pPr>
        <w:spacing w:after="0" w:line="278"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For the purposes of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Condensed Consolidated Statements of Comprehensive Income.</w:t>
      </w:r>
    </w:p>
    <w:p>
      <w:pPr>
        <w:spacing w:after="0" w:line="198" w:lineRule="exact"/>
        <w:rPr>
          <w:sz w:val="20"/>
          <w:szCs w:val="20"/>
          <w:color w:val="auto"/>
        </w:rPr>
      </w:pPr>
    </w:p>
    <w:p>
      <w:pPr>
        <w:ind w:right="100" w:firstLine="629"/>
        <w:spacing w:after="0" w:line="276" w:lineRule="auto"/>
        <w:rPr>
          <w:sz w:val="20"/>
          <w:szCs w:val="20"/>
          <w:color w:val="auto"/>
        </w:rPr>
      </w:pPr>
      <w:r>
        <w:rPr>
          <w:rFonts w:ascii="Times New Roman" w:cs="Times New Roman" w:eastAsia="Times New Roman" w:hAnsi="Times New Roman"/>
          <w:sz w:val="17"/>
          <w:szCs w:val="17"/>
          <w:color w:val="auto"/>
        </w:rPr>
        <w:t>The Company made its first payment of $7.0 million in February 2017, its second payment of $12.4 million in September 2018, its third payment of $13.3 million in March 2020, its fourth payment of $16.5 million in April 2021, and its fifth payment of $21.3 million in March 2022. Tax receivable payments are expected to range from approximately $0.4 million to $22.0 million per year over the next 15 years.</w:t>
      </w:r>
    </w:p>
    <w:p>
      <w:pPr>
        <w:spacing w:after="0" w:line="190"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At March 31, 2022 and December 31, 2021, the Company’s remaining deferred tax assets that relate to the matters described above were approximately $175.4 million and $180.4 million, respectively, and the Company’s liabilities over the next 15 years pursuant to the tax receivable agreements were approximately $237.9 million and $259.3 million, respectively. The amounts recorded as of March 31, 2022 and December 31, 2021 are based on best estimates available at the respective dates and may be subject to change after the filing of the Company’s U.S. federal and state income tax returns for the years in which tax savings were realized.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Goodwill and Intangible Assets</w:t>
      </w:r>
    </w:p>
    <w:p>
      <w:pPr>
        <w:spacing w:after="0" w:line="252" w:lineRule="exact"/>
        <w:rPr>
          <w:sz w:val="20"/>
          <w:szCs w:val="20"/>
          <w:color w:val="auto"/>
        </w:rPr>
      </w:pPr>
    </w:p>
    <w:p>
      <w:pPr>
        <w:jc w:val="both"/>
        <w:ind w:right="140" w:firstLine="629"/>
        <w:spacing w:after="0" w:line="276" w:lineRule="auto"/>
        <w:rPr>
          <w:sz w:val="20"/>
          <w:szCs w:val="20"/>
          <w:color w:val="auto"/>
        </w:rPr>
      </w:pPr>
      <w:r>
        <w:rPr>
          <w:rFonts w:ascii="Times New Roman" w:cs="Times New Roman" w:eastAsia="Times New Roman" w:hAnsi="Times New Roman"/>
          <w:sz w:val="17"/>
          <w:szCs w:val="17"/>
          <w:color w:val="auto"/>
        </w:rPr>
        <w:t>The Company has two operating segments: (i) Market Making; and (ii) Execution Services; and one non-operating segment: Corporate. As of March 31, 2022 and December 31, 2021, the Company’s total amount of goodwill recorded was $1,148.9 million. No goodwill impairment was recognized during the three months ended March 31, 2022 and 2021.</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details of goodwill by segment as of March 31, 2022 and December 31, 2021:</w:t>
      </w:r>
    </w:p>
    <w:p>
      <w:pPr>
        <w:spacing w:after="0" w:line="47"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5"/>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period-end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755,292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393,634</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1,148,926</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ind w:right="480" w:firstLine="629"/>
        <w:spacing w:after="0" w:line="296" w:lineRule="auto"/>
        <w:rPr>
          <w:sz w:val="20"/>
          <w:szCs w:val="20"/>
          <w:color w:val="auto"/>
        </w:rPr>
      </w:pPr>
      <w:r>
        <w:rPr>
          <w:rFonts w:ascii="Times New Roman" w:cs="Times New Roman" w:eastAsia="Times New Roman" w:hAnsi="Times New Roman"/>
          <w:sz w:val="17"/>
          <w:szCs w:val="17"/>
          <w:color w:val="auto"/>
        </w:rPr>
        <w:t>As of March 31, 2022 and December 31, 2021, the Company's total amount of intangible assets recorded was $369.9 million and $386.3 million, respectively. Acquired intangible assets consisted of the following as of March 31, 2022 and December 31, 2021:</w:t>
      </w:r>
    </w:p>
    <w:p>
      <w:pPr>
        <w:spacing w:after="0" w:line="75"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0"/>
                <w:szCs w:val="10"/>
                <w:color w:val="auto"/>
              </w:rPr>
            </w:pPr>
          </w:p>
        </w:tc>
        <w:tc>
          <w:tcPr>
            <w:tcW w:w="12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0"/>
                <w:szCs w:val="10"/>
                <w:color w:val="auto"/>
              </w:rPr>
            </w:pPr>
          </w:p>
        </w:tc>
        <w:tc>
          <w:tcPr>
            <w:tcW w:w="126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1080" w:type="dxa"/>
            <w:vAlign w:val="bottom"/>
          </w:tcPr>
          <w:p>
            <w:pPr>
              <w:jc w:val="right"/>
              <w:ind w:right="150"/>
              <w:spacing w:after="0" w:line="126"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60" w:type="dxa"/>
            <w:vAlign w:val="bottom"/>
          </w:tcPr>
          <w:p>
            <w:pPr>
              <w:spacing w:after="0"/>
              <w:rPr>
                <w:sz w:val="16"/>
                <w:szCs w:val="16"/>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486,600</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(154,104)</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332,496</w:t>
            </w: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10</w:t>
            </w: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12</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(106,209)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29,791</w:t>
            </w:r>
          </w:p>
        </w:tc>
        <w:tc>
          <w:tcPr>
            <w:tcW w:w="540" w:type="dxa"/>
            <w:vAlign w:val="bottom"/>
            <w:gridSpan w:val="2"/>
          </w:tcPr>
          <w:p>
            <w:pPr>
              <w:jc w:val="center"/>
              <w:ind w:left="210"/>
              <w:spacing w:after="0"/>
              <w:rPr>
                <w:sz w:val="20"/>
                <w:szCs w:val="20"/>
                <w:color w:val="auto"/>
              </w:rPr>
            </w:pPr>
            <w:r>
              <w:rPr>
                <w:rFonts w:ascii="Times New Roman" w:cs="Times New Roman" w:eastAsia="Times New Roman" w:hAnsi="Times New Roman"/>
                <w:sz w:val="14"/>
                <w:szCs w:val="14"/>
                <w:color w:val="auto"/>
                <w:w w:val="85"/>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85"/>
              </w:rPr>
              <w:t>6</w:t>
            </w: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Favorable occupancy leases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5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4"/>
                <w:szCs w:val="14"/>
                <w:color w:val="auto"/>
                <w:w w:val="85"/>
              </w:rPr>
              <w:t>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15</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 memberships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ETF issuer relationships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ETF buyer relationships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(269,642)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369,851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0"/>
                <w:szCs w:val="10"/>
                <w:color w:val="auto"/>
              </w:rPr>
            </w:pPr>
          </w:p>
        </w:tc>
        <w:tc>
          <w:tcPr>
            <w:tcW w:w="12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0"/>
                <w:szCs w:val="10"/>
                <w:color w:val="auto"/>
              </w:rPr>
            </w:pPr>
          </w:p>
        </w:tc>
        <w:tc>
          <w:tcPr>
            <w:tcW w:w="124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1080" w:type="dxa"/>
            <w:vAlign w:val="bottom"/>
          </w:tcPr>
          <w:p>
            <w:pPr>
              <w:jc w:val="right"/>
              <w:ind w:right="150"/>
              <w:spacing w:after="0" w:line="126"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486,600</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(142,142)</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344,458</w:t>
            </w: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10</w:t>
            </w: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12</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(102,088)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33,912</w:t>
            </w:r>
          </w:p>
        </w:tc>
        <w:tc>
          <w:tcPr>
            <w:tcW w:w="540" w:type="dxa"/>
            <w:vAlign w:val="bottom"/>
            <w:gridSpan w:val="2"/>
          </w:tcPr>
          <w:p>
            <w:pPr>
              <w:jc w:val="center"/>
              <w:ind w:left="210"/>
              <w:spacing w:after="0"/>
              <w:rPr>
                <w:sz w:val="20"/>
                <w:szCs w:val="20"/>
                <w:color w:val="auto"/>
              </w:rPr>
            </w:pPr>
            <w:r>
              <w:rPr>
                <w:rFonts w:ascii="Times New Roman" w:cs="Times New Roman" w:eastAsia="Times New Roman" w:hAnsi="Times New Roman"/>
                <w:sz w:val="14"/>
                <w:szCs w:val="14"/>
                <w:color w:val="auto"/>
                <w:w w:val="85"/>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85"/>
              </w:rPr>
              <w:t>6</w:t>
            </w: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Favorable occupancy leases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5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4"/>
                <w:szCs w:val="14"/>
                <w:color w:val="auto"/>
                <w:w w:val="85"/>
              </w:rPr>
              <w:t>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15</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 memberships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ETF issuer relationships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ETF buyer relationships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6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386,332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180" w:firstLine="629"/>
        <w:spacing w:after="0" w:line="276" w:lineRule="auto"/>
        <w:rPr>
          <w:sz w:val="20"/>
          <w:szCs w:val="20"/>
          <w:color w:val="auto"/>
        </w:rPr>
      </w:pPr>
      <w:r>
        <w:rPr>
          <w:rFonts w:ascii="Times New Roman" w:cs="Times New Roman" w:eastAsia="Times New Roman" w:hAnsi="Times New Roman"/>
          <w:sz w:val="17"/>
          <w:szCs w:val="17"/>
          <w:color w:val="auto"/>
        </w:rPr>
        <w:t>Amortization expense relating to finite-lived intangible assets was approximately $16.5 million and $18.1 million for the three months ended March 31, 2022 and 2021, respectively. This is included in Amortization of purchased intangibles and acquired capitalized software in the accompanying Condensed Consolidated Statements of Comprehensive Income.</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expects to record amortization expense as follows over the next five subsequent years:</w:t>
      </w:r>
    </w:p>
    <w:p>
      <w:pPr>
        <w:spacing w:after="0" w:line="283" w:lineRule="exact"/>
        <w:rPr>
          <w:sz w:val="20"/>
          <w:szCs w:val="20"/>
          <w:color w:val="auto"/>
        </w:rPr>
      </w:pPr>
    </w:p>
    <w:tbl>
      <w:tblPr>
        <w:tblLayout w:type="fixed"/>
        <w:tblInd w:w="3420" w:type="dxa"/>
        <w:tblCellMar>
          <w:top w:w="0" w:type="dxa"/>
          <w:left w:w="0" w:type="dxa"/>
          <w:bottom w:w="0" w:type="dxa"/>
          <w:right w:w="0" w:type="dxa"/>
        </w:tblCellMar>
      </w:tblPr>
      <w:tr>
        <w:trPr>
          <w:trHeight w:val="184"/>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1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Remainder of 2022</w:t>
            </w:r>
          </w:p>
        </w:tc>
        <w:tc>
          <w:tcPr>
            <w:tcW w:w="16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48,371</w:t>
            </w:r>
          </w:p>
        </w:tc>
      </w:tr>
      <w:tr>
        <w:trPr>
          <w:trHeight w:val="189"/>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6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63,960</w:t>
            </w:r>
          </w:p>
        </w:tc>
      </w:tr>
      <w:tr>
        <w:trPr>
          <w:trHeight w:val="20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6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50,845</w:t>
            </w:r>
          </w:p>
        </w:tc>
      </w:tr>
      <w:tr>
        <w:trPr>
          <w:trHeight w:val="189"/>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6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47,879</w:t>
            </w:r>
          </w:p>
        </w:tc>
      </w:tr>
      <w:tr>
        <w:trPr>
          <w:trHeight w:val="20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6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47,879</w:t>
            </w:r>
          </w:p>
        </w:tc>
      </w:tr>
      <w:tr>
        <w:trPr>
          <w:trHeight w:val="182"/>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6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47,879</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Receivables from/Payables to Broker-Dealers and Clearing Organizations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is a summary of receivables from and payables to brokers-dealers and clearing organizations at March 31, 2022 and December 31, 2021:</w:t>
      </w:r>
    </w:p>
    <w:p>
      <w:pPr>
        <w:spacing w:after="0" w:line="257"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Pr>
          <w:p>
            <w:pPr>
              <w:spacing w:after="0"/>
              <w:rPr>
                <w:sz w:val="16"/>
                <w:szCs w:val="16"/>
                <w:color w:val="auto"/>
              </w:rPr>
            </w:pP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6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Due from prime brokers</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550,259</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287,990</w:t>
            </w:r>
          </w:p>
        </w:tc>
      </w:tr>
      <w:tr>
        <w:trPr>
          <w:trHeight w:val="204"/>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190,696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161,928</w:t>
            </w: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equity with futures commission merchants</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98,302</w:t>
            </w:r>
          </w:p>
        </w:tc>
      </w:tr>
      <w:tr>
        <w:trPr>
          <w:trHeight w:val="204"/>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Unsettled trades with clearing organizations</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181,109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164,195</w:t>
            </w: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failed to deliver</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427,761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290,207</w:t>
            </w:r>
          </w:p>
        </w:tc>
      </w:tr>
      <w:tr>
        <w:trPr>
          <w:trHeight w:val="197"/>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Commissions and fees</w:t>
            </w:r>
          </w:p>
        </w:tc>
        <w:tc>
          <w:tcPr>
            <w:tcW w:w="2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26,626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24,184</w:t>
            </w:r>
          </w:p>
        </w:tc>
      </w:tr>
      <w:tr>
        <w:trPr>
          <w:trHeight w:val="196"/>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receivables from broker-dealers and clearing organizations</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1,501,948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1,026,807</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6"/>
        </w:trPr>
        <w:tc>
          <w:tcPr>
            <w:tcW w:w="6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9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3"/>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to prime brokers</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728,879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497,972</w:t>
            </w: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equity with futures commission merchants (1)</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(57,226)</w:t>
            </w:r>
          </w:p>
        </w:tc>
      </w:tr>
      <w:tr>
        <w:trPr>
          <w:trHeight w:val="204"/>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Unsettled trades with clearing organizations</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failed to receive</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254,455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128,392</w:t>
            </w:r>
          </w:p>
        </w:tc>
      </w:tr>
      <w:tr>
        <w:trPr>
          <w:trHeight w:val="197"/>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Commissions and fees</w:t>
            </w:r>
          </w:p>
        </w:tc>
        <w:tc>
          <w:tcPr>
            <w:tcW w:w="2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w:t>
            </w:r>
          </w:p>
        </w:tc>
      </w:tr>
      <w:tr>
        <w:trPr>
          <w:trHeight w:val="196"/>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payables to broker-dealers and clearing organizations</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934,722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571,526</w:t>
            </w:r>
          </w:p>
        </w:tc>
      </w:tr>
      <w:tr>
        <w:trPr>
          <w:trHeight w:val="20"/>
        </w:trPr>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320" w:right="200" w:hanging="315"/>
        <w:spacing w:after="0" w:line="295" w:lineRule="auto"/>
        <w:tabs>
          <w:tab w:leader="none" w:pos="271"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presents its balances, including outstanding principal balances on all broker credit facilities, on a net-by-counterparty basis within receivables from and payables to broker-dealers and clearing organizations when the criteria for offsetting are met</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Included as a deduction from “Due from prime brokers” and “Net equity with futures commission merchants” is the outstanding principal balance on all of the Company’s prime brokerage credit facilities (described in Note 8 "Borrowings") of approximately $314.3 million and $177.1 million as of March 31, 2022 and December 31, 2021,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Collateralized Transactions</w:t>
      </w:r>
    </w:p>
    <w:p>
      <w:pPr>
        <w:spacing w:after="0" w:line="252" w:lineRule="exact"/>
        <w:rPr>
          <w:sz w:val="20"/>
          <w:szCs w:val="20"/>
          <w:color w:val="auto"/>
        </w:rPr>
      </w:pPr>
    </w:p>
    <w:p>
      <w:pPr>
        <w:ind w:right="180" w:firstLine="629"/>
        <w:spacing w:after="0" w:line="276" w:lineRule="auto"/>
        <w:rPr>
          <w:sz w:val="20"/>
          <w:szCs w:val="20"/>
          <w:color w:val="auto"/>
        </w:rPr>
      </w:pPr>
      <w:r>
        <w:rPr>
          <w:rFonts w:ascii="Times New Roman" w:cs="Times New Roman" w:eastAsia="Times New Roman" w:hAnsi="Times New Roman"/>
          <w:sz w:val="17"/>
          <w:szCs w:val="17"/>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March 31, 2022 and December 31, 2021, substantially all of the securities received as collateral have been repledged.</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fair value of the collateralized transactions at March 31, 2022 and December 31, 2021 are summarized as follows:</w:t>
      </w:r>
    </w:p>
    <w:p>
      <w:pPr>
        <w:spacing w:after="0" w:line="47"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6"/>
                <w:szCs w:val="16"/>
                <w:color w:val="auto"/>
              </w:rPr>
            </w:pP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received as collateral:</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89"/>
        </w:trPr>
        <w:tc>
          <w:tcPr>
            <w:tcW w:w="7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Securities borrowed</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1,630,036</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1,299,270</w:t>
            </w:r>
          </w:p>
        </w:tc>
      </w:tr>
      <w:tr>
        <w:trPr>
          <w:trHeight w:val="197"/>
        </w:trPr>
        <w:tc>
          <w:tcPr>
            <w:tcW w:w="7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160,152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r>
      <w:tr>
        <w:trPr>
          <w:trHeight w:val="190"/>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1,790,188</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1,418,723</w:t>
            </w:r>
          </w:p>
        </w:tc>
      </w:tr>
      <w:tr>
        <w:trPr>
          <w:trHeight w:val="26"/>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86" w:lineRule="exact"/>
        <w:rPr>
          <w:sz w:val="20"/>
          <w:szCs w:val="20"/>
          <w:color w:val="auto"/>
        </w:rPr>
      </w:pPr>
    </w:p>
    <w:p>
      <w:pPr>
        <w:ind w:right="560" w:firstLine="629"/>
        <w:spacing w:after="0" w:line="296" w:lineRule="auto"/>
        <w:rPr>
          <w:sz w:val="20"/>
          <w:szCs w:val="20"/>
          <w:color w:val="auto"/>
        </w:rPr>
      </w:pPr>
      <w:r>
        <w:rPr>
          <w:rFonts w:ascii="Times New Roman" w:cs="Times New Roman" w:eastAsia="Times New Roman" w:hAnsi="Times New Roman"/>
          <w:sz w:val="17"/>
          <w:szCs w:val="17"/>
          <w:color w:val="auto"/>
        </w:rPr>
        <w:t>In the normal course of business, the Company pledges qualified securities with clearing organizations to satisfy daily margin and clearing fund requirements.</w:t>
      </w:r>
    </w:p>
    <w:p>
      <w:pPr>
        <w:spacing w:after="0" w:line="173" w:lineRule="exact"/>
        <w:rPr>
          <w:sz w:val="20"/>
          <w:szCs w:val="20"/>
          <w:color w:val="auto"/>
        </w:rPr>
      </w:pPr>
    </w:p>
    <w:p>
      <w:pPr>
        <w:ind w:right="60" w:firstLine="629"/>
        <w:spacing w:after="0" w:line="296" w:lineRule="auto"/>
        <w:rPr>
          <w:sz w:val="20"/>
          <w:szCs w:val="20"/>
          <w:color w:val="auto"/>
        </w:rPr>
      </w:pPr>
      <w:r>
        <w:rPr>
          <w:rFonts w:ascii="Times New Roman" w:cs="Times New Roman" w:eastAsia="Times New Roman" w:hAnsi="Times New Roman"/>
          <w:sz w:val="17"/>
          <w:szCs w:val="17"/>
          <w:color w:val="auto"/>
        </w:rPr>
        <w:t>Financial instruments owned and pledged, where the counterparty has the right to repledge, at March 31, 2022 and December 31, 2021 consisted of the following:</w:t>
      </w:r>
    </w:p>
    <w:p>
      <w:pPr>
        <w:spacing w:after="0" w:line="206"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6"/>
                <w:szCs w:val="16"/>
                <w:color w:val="auto"/>
              </w:rPr>
            </w:pP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Equities</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1,126,959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1,012,569</w:t>
            </w:r>
          </w:p>
        </w:tc>
      </w:tr>
      <w:tr>
        <w:trPr>
          <w:trHeight w:val="190"/>
        </w:trPr>
        <w:tc>
          <w:tcPr>
            <w:tcW w:w="7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Exchange traded notes</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5,391</w:t>
            </w:r>
          </w:p>
        </w:tc>
      </w:tr>
      <w:tr>
        <w:trPr>
          <w:trHeight w:val="215"/>
        </w:trPr>
        <w:tc>
          <w:tcPr>
            <w:tcW w:w="7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1,137,134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1,017,960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Borrowings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Borrowings, net</w:t>
      </w:r>
    </w:p>
    <w:p>
      <w:pPr>
        <w:spacing w:after="0" w:line="254" w:lineRule="exact"/>
        <w:rPr>
          <w:sz w:val="20"/>
          <w:szCs w:val="20"/>
          <w:color w:val="auto"/>
        </w:rPr>
      </w:pPr>
    </w:p>
    <w:p>
      <w:pPr>
        <w:ind w:right="60" w:firstLine="629"/>
        <w:spacing w:after="0" w:line="277" w:lineRule="auto"/>
        <w:rPr>
          <w:sz w:val="20"/>
          <w:szCs w:val="20"/>
          <w:color w:val="auto"/>
        </w:rPr>
      </w:pPr>
      <w:r>
        <w:rPr>
          <w:rFonts w:ascii="Times New Roman" w:cs="Times New Roman" w:eastAsia="Times New Roman" w:hAnsi="Times New Roman"/>
          <w:sz w:val="17"/>
          <w:szCs w:val="17"/>
          <w:color w:val="auto"/>
        </w:rPr>
        <w:t>The following summarizes the Company's short-term borrowing balances outstanding, net of related debt issuance costs, with each described in further detail below.</w:t>
      </w:r>
    </w:p>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0"/>
                <w:szCs w:val="10"/>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Borrowing Outstanding</w:t>
            </w:r>
          </w:p>
        </w:tc>
        <w:tc>
          <w:tcPr>
            <w:tcW w:w="80" w:type="dxa"/>
            <w:vAlign w:val="bottom"/>
          </w:tcPr>
          <w:p>
            <w:pPr>
              <w:spacing w:after="0"/>
              <w:rPr>
                <w:sz w:val="10"/>
                <w:szCs w:val="10"/>
                <w:color w:val="auto"/>
              </w:rPr>
            </w:pPr>
          </w:p>
        </w:tc>
        <w:tc>
          <w:tcPr>
            <w:tcW w:w="162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4"/>
                <w:szCs w:val="14"/>
                <w:b w:val="1"/>
                <w:bCs w:val="1"/>
                <w:color w:val="auto"/>
                <w:w w:val="99"/>
              </w:rPr>
              <w:t>Deferred Debt Issuance</w:t>
            </w:r>
          </w:p>
        </w:tc>
        <w:tc>
          <w:tcPr>
            <w:tcW w:w="80" w:type="dxa"/>
            <w:vAlign w:val="bottom"/>
          </w:tcPr>
          <w:p>
            <w:pPr>
              <w:spacing w:after="0"/>
              <w:rPr>
                <w:sz w:val="10"/>
                <w:szCs w:val="10"/>
                <w:color w:val="auto"/>
              </w:rPr>
            </w:pPr>
          </w:p>
        </w:tc>
        <w:tc>
          <w:tcPr>
            <w:tcW w:w="1560" w:type="dxa"/>
            <w:vAlign w:val="bottom"/>
          </w:tcPr>
          <w:p>
            <w:pPr>
              <w:jc w:val="right"/>
              <w:ind w:right="50"/>
              <w:spacing w:after="0" w:line="126" w:lineRule="exact"/>
              <w:rPr>
                <w:sz w:val="20"/>
                <w:szCs w:val="20"/>
                <w:color w:val="auto"/>
              </w:rPr>
            </w:pPr>
            <w:r>
              <w:rPr>
                <w:rFonts w:ascii="Times New Roman" w:cs="Times New Roman" w:eastAsia="Times New Roman" w:hAnsi="Times New Roman"/>
                <w:sz w:val="14"/>
                <w:szCs w:val="14"/>
                <w:b w:val="1"/>
                <w:bCs w:val="1"/>
                <w:color w:val="auto"/>
                <w:w w:val="98"/>
              </w:rPr>
              <w:t>Short-term Borrowings,</w:t>
            </w:r>
          </w:p>
        </w:tc>
        <w:tc>
          <w:tcPr>
            <w:tcW w:w="0" w:type="dxa"/>
            <w:vAlign w:val="bottom"/>
          </w:tcPr>
          <w:p>
            <w:pPr>
              <w:spacing w:after="0"/>
              <w:rPr>
                <w:sz w:val="1"/>
                <w:szCs w:val="1"/>
                <w:color w:val="auto"/>
              </w:rPr>
            </w:pPr>
          </w:p>
        </w:tc>
      </w:tr>
      <w:tr>
        <w:trPr>
          <w:trHeight w:val="190"/>
        </w:trPr>
        <w:tc>
          <w:tcPr>
            <w:tcW w:w="4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80" w:type="dxa"/>
            <w:vAlign w:val="bottom"/>
          </w:tcPr>
          <w:p>
            <w:pPr>
              <w:spacing w:after="0"/>
              <w:rPr>
                <w:sz w:val="16"/>
                <w:szCs w:val="16"/>
                <w:color w:val="auto"/>
              </w:rPr>
            </w:pPr>
          </w:p>
        </w:tc>
        <w:tc>
          <w:tcPr>
            <w:tcW w:w="1560" w:type="dxa"/>
            <w:vAlign w:val="bottom"/>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Broker-dealer credit facilities</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142,000</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140,782</w:t>
            </w:r>
          </w:p>
        </w:tc>
        <w:tc>
          <w:tcPr>
            <w:tcW w:w="0" w:type="dxa"/>
            <w:vAlign w:val="bottom"/>
          </w:tcPr>
          <w:p>
            <w:pPr>
              <w:spacing w:after="0"/>
              <w:rPr>
                <w:sz w:val="1"/>
                <w:szCs w:val="1"/>
                <w:color w:val="auto"/>
              </w:rPr>
            </w:pPr>
          </w:p>
        </w:tc>
      </w:tr>
      <w:tr>
        <w:trPr>
          <w:trHeight w:val="19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Short-term bank loans</w:t>
            </w:r>
          </w:p>
        </w:tc>
        <w:tc>
          <w:tcPr>
            <w:tcW w:w="80" w:type="dxa"/>
            <w:vAlign w:val="bottom"/>
          </w:tcPr>
          <w:p>
            <w:pPr>
              <w:spacing w:after="0"/>
              <w:rPr>
                <w:sz w:val="16"/>
                <w:szCs w:val="16"/>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5"/>
        </w:trPr>
        <w:tc>
          <w:tcPr>
            <w:tcW w:w="44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140,782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0"/>
                <w:szCs w:val="10"/>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Borrowing Outstanding</w:t>
            </w:r>
          </w:p>
        </w:tc>
        <w:tc>
          <w:tcPr>
            <w:tcW w:w="80" w:type="dxa"/>
            <w:vAlign w:val="bottom"/>
          </w:tcPr>
          <w:p>
            <w:pPr>
              <w:spacing w:after="0"/>
              <w:rPr>
                <w:sz w:val="10"/>
                <w:szCs w:val="10"/>
                <w:color w:val="auto"/>
              </w:rPr>
            </w:pPr>
          </w:p>
        </w:tc>
        <w:tc>
          <w:tcPr>
            <w:tcW w:w="162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4"/>
                <w:szCs w:val="14"/>
                <w:b w:val="1"/>
                <w:bCs w:val="1"/>
                <w:color w:val="auto"/>
                <w:w w:val="99"/>
              </w:rPr>
              <w:t>Deferred Debt Issuance</w:t>
            </w:r>
          </w:p>
        </w:tc>
        <w:tc>
          <w:tcPr>
            <w:tcW w:w="80" w:type="dxa"/>
            <w:vAlign w:val="bottom"/>
          </w:tcPr>
          <w:p>
            <w:pPr>
              <w:spacing w:after="0"/>
              <w:rPr>
                <w:sz w:val="10"/>
                <w:szCs w:val="10"/>
                <w:color w:val="auto"/>
              </w:rPr>
            </w:pPr>
          </w:p>
        </w:tc>
        <w:tc>
          <w:tcPr>
            <w:tcW w:w="1560" w:type="dxa"/>
            <w:vAlign w:val="bottom"/>
          </w:tcPr>
          <w:p>
            <w:pPr>
              <w:jc w:val="right"/>
              <w:ind w:right="50"/>
              <w:spacing w:after="0" w:line="126" w:lineRule="exact"/>
              <w:rPr>
                <w:sz w:val="20"/>
                <w:szCs w:val="20"/>
                <w:color w:val="auto"/>
              </w:rPr>
            </w:pPr>
            <w:r>
              <w:rPr>
                <w:rFonts w:ascii="Times New Roman" w:cs="Times New Roman" w:eastAsia="Times New Roman" w:hAnsi="Times New Roman"/>
                <w:sz w:val="14"/>
                <w:szCs w:val="14"/>
                <w:b w:val="1"/>
                <w:bCs w:val="1"/>
                <w:color w:val="auto"/>
                <w:w w:val="98"/>
              </w:rPr>
              <w:t>Short-term Borrowings,</w:t>
            </w:r>
          </w:p>
        </w:tc>
        <w:tc>
          <w:tcPr>
            <w:tcW w:w="0" w:type="dxa"/>
            <w:vAlign w:val="bottom"/>
          </w:tcPr>
          <w:p>
            <w:pPr>
              <w:spacing w:after="0"/>
              <w:rPr>
                <w:sz w:val="1"/>
                <w:szCs w:val="1"/>
                <w:color w:val="auto"/>
              </w:rPr>
            </w:pPr>
          </w:p>
        </w:tc>
      </w:tr>
      <w:tr>
        <w:trPr>
          <w:trHeight w:val="190"/>
        </w:trPr>
        <w:tc>
          <w:tcPr>
            <w:tcW w:w="4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80" w:type="dxa"/>
            <w:vAlign w:val="bottom"/>
          </w:tcPr>
          <w:p>
            <w:pPr>
              <w:spacing w:after="0"/>
              <w:rPr>
                <w:sz w:val="16"/>
                <w:szCs w:val="16"/>
                <w:color w:val="auto"/>
              </w:rPr>
            </w:pPr>
          </w:p>
        </w:tc>
        <w:tc>
          <w:tcPr>
            <w:tcW w:w="1560" w:type="dxa"/>
            <w:vAlign w:val="bottom"/>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Broker-dealer credit facilities</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58,000</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56,454</w:t>
            </w:r>
          </w:p>
        </w:tc>
        <w:tc>
          <w:tcPr>
            <w:tcW w:w="0" w:type="dxa"/>
            <w:vAlign w:val="bottom"/>
          </w:tcPr>
          <w:p>
            <w:pPr>
              <w:spacing w:after="0"/>
              <w:rPr>
                <w:sz w:val="1"/>
                <w:szCs w:val="1"/>
                <w:color w:val="auto"/>
              </w:rPr>
            </w:pPr>
          </w:p>
        </w:tc>
      </w:tr>
      <w:tr>
        <w:trPr>
          <w:trHeight w:val="19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Short-term bank loans</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5,056</w:t>
            </w:r>
          </w:p>
        </w:tc>
        <w:tc>
          <w:tcPr>
            <w:tcW w:w="0" w:type="dxa"/>
            <w:vAlign w:val="bottom"/>
          </w:tcPr>
          <w:p>
            <w:pPr>
              <w:spacing w:after="0"/>
              <w:rPr>
                <w:sz w:val="1"/>
                <w:szCs w:val="1"/>
                <w:color w:val="auto"/>
              </w:rPr>
            </w:pPr>
          </w:p>
        </w:tc>
      </w:tr>
      <w:tr>
        <w:trPr>
          <w:trHeight w:val="215"/>
        </w:trPr>
        <w:tc>
          <w:tcPr>
            <w:tcW w:w="44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61,510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Broker-Dealer Credit Facilities</w:t>
      </w:r>
    </w:p>
    <w:p>
      <w:pPr>
        <w:spacing w:after="0" w:line="252" w:lineRule="exact"/>
        <w:rPr>
          <w:sz w:val="20"/>
          <w:szCs w:val="20"/>
          <w:color w:val="auto"/>
        </w:rPr>
      </w:pPr>
    </w:p>
    <w:p>
      <w:pPr>
        <w:ind w:right="80" w:firstLine="629"/>
        <w:spacing w:after="0" w:line="262" w:lineRule="auto"/>
        <w:rPr>
          <w:sz w:val="20"/>
          <w:szCs w:val="20"/>
          <w:color w:val="auto"/>
        </w:rPr>
      </w:pPr>
      <w:r>
        <w:rPr>
          <w:rFonts w:ascii="Times New Roman" w:cs="Times New Roman" w:eastAsia="Times New Roman" w:hAnsi="Times New Roman"/>
          <w:sz w:val="17"/>
          <w:szCs w:val="17"/>
          <w:color w:val="auto"/>
        </w:rPr>
        <w:t>The Company is a party to two secured credit facilities with a financial institution to finance overnight securities positions purchased as part of its ordinary course broker-dealer market making activities. One of the facilities (the “Uncommitted Facility”) is provided on an uncommitted basis with an aggregate borrowing limit of $400 million, and is collateralized by VAL's trading and deposit account maintained at the financial institution. The second credit facility (the “Committed Facility”) with the same financial institution has a borrowing limit of $600 million. The Committed Facility consists of two borrowing bases: Borrowing Base A Loan is to be used to finance the purchase and settlement of securities; Borrowing Base B Loan is to be used to fund margin deposit with the National Securities Clearing Corporation. Borrowing Base A Loans are available up to $600 million and bear interest at the adjusted LIBOR or base rate plus 1.25% per annum. Borrowing Base B Loans are subject to a sublimit of $200 million and bear interest at the adjusted LIBOR or base rate plus 2.50% per annum. A commitment fee of 0.50% per annum on the average daily unused portion of this facility is payable quarterly in arrears.</w:t>
      </w:r>
    </w:p>
    <w:p>
      <w:pPr>
        <w:spacing w:after="0" w:line="205" w:lineRule="exact"/>
        <w:rPr>
          <w:sz w:val="20"/>
          <w:szCs w:val="20"/>
          <w:color w:val="auto"/>
        </w:rPr>
      </w:pPr>
    </w:p>
    <w:p>
      <w:pPr>
        <w:ind w:right="40" w:firstLine="629"/>
        <w:spacing w:after="0" w:line="262" w:lineRule="auto"/>
        <w:rPr>
          <w:sz w:val="20"/>
          <w:szCs w:val="20"/>
          <w:color w:val="auto"/>
        </w:rPr>
      </w:pPr>
      <w:r>
        <w:rPr>
          <w:rFonts w:ascii="Times New Roman" w:cs="Times New Roman" w:eastAsia="Times New Roman" w:hAnsi="Times New Roman"/>
          <w:sz w:val="17"/>
          <w:szCs w:val="17"/>
          <w:color w:val="auto"/>
        </w:rPr>
        <w:t>On March 20, 2020, VAL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(the "Founder Member Loan Term"). The Founder Member Loan Facility Term expired as of September 20, 2020 without VAL having borrowed any Founder Member Loans at any time. The Founder Member is an affiliate of Mr. Vincent Viola, the Company’s founder and Chairman Emeritus. Upon the execution of and in consideration for the Lender’s (as defined in the Founder Member Loan Facility) commitments under the Founder Member Loan Facility, the Company delivered to the Founder Member a warrant to purchase shares of the Company’s Class A Common Stock. Terms of the warrant are set forth in further detail in Note 17 "Capital Structure".</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summarizes the Company’s broker-dealer credit facilities' carrying values, net of unamortized debt issuance costs, where applicable.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balances are included within Short-term borrowings on the Condensed Consolidated Statements of Financial Condition.</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At March 31, 2022</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100" w:type="dxa"/>
            <w:vAlign w:val="bottom"/>
          </w:tcPr>
          <w:p>
            <w:pPr>
              <w:spacing w:after="0"/>
              <w:rPr>
                <w:sz w:val="10"/>
                <w:szCs w:val="10"/>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Financing Available</w:t>
            </w:r>
          </w:p>
        </w:tc>
        <w:tc>
          <w:tcPr>
            <w:tcW w:w="120" w:type="dxa"/>
            <w:vAlign w:val="bottom"/>
          </w:tcPr>
          <w:p>
            <w:pPr>
              <w:spacing w:after="0"/>
              <w:rPr>
                <w:sz w:val="10"/>
                <w:szCs w:val="10"/>
                <w:color w:val="auto"/>
              </w:rPr>
            </w:pPr>
          </w:p>
        </w:tc>
        <w:tc>
          <w:tcPr>
            <w:tcW w:w="140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w w:val="99"/>
              </w:rPr>
              <w:t>Borrowing</w:t>
            </w:r>
          </w:p>
        </w:tc>
        <w:tc>
          <w:tcPr>
            <w:tcW w:w="180" w:type="dxa"/>
            <w:vAlign w:val="bottom"/>
          </w:tcPr>
          <w:p>
            <w:pPr>
              <w:spacing w:after="0"/>
              <w:rPr>
                <w:sz w:val="10"/>
                <w:szCs w:val="10"/>
                <w:color w:val="auto"/>
              </w:rPr>
            </w:pPr>
          </w:p>
        </w:tc>
        <w:tc>
          <w:tcPr>
            <w:tcW w:w="1340" w:type="dxa"/>
            <w:vAlign w:val="bottom"/>
            <w:gridSpan w:val="2"/>
          </w:tcPr>
          <w:p>
            <w:pPr>
              <w:ind w:left="100"/>
              <w:spacing w:after="0" w:line="126"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0"/>
                <w:szCs w:val="10"/>
                <w:color w:val="auto"/>
              </w:rPr>
            </w:pPr>
          </w:p>
        </w:tc>
        <w:tc>
          <w:tcPr>
            <w:tcW w:w="1280" w:type="dxa"/>
            <w:vAlign w:val="bottom"/>
          </w:tcPr>
          <w:p>
            <w:pPr>
              <w:jc w:val="right"/>
              <w:ind w:right="290"/>
              <w:spacing w:after="0" w:line="12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370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8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60" w:type="dxa"/>
            <w:vAlign w:val="bottom"/>
          </w:tcPr>
          <w:p>
            <w:pPr>
              <w:spacing w:after="0"/>
              <w:rPr>
                <w:sz w:val="16"/>
                <w:szCs w:val="16"/>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195"/>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Uncommitted facility</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142,000</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140,782</w:t>
            </w:r>
          </w:p>
        </w:tc>
        <w:tc>
          <w:tcPr>
            <w:tcW w:w="0" w:type="dxa"/>
            <w:vAlign w:val="bottom"/>
          </w:tcPr>
          <w:p>
            <w:pPr>
              <w:spacing w:after="0"/>
              <w:rPr>
                <w:sz w:val="1"/>
                <w:szCs w:val="1"/>
                <w:color w:val="auto"/>
              </w:rPr>
            </w:pPr>
          </w:p>
        </w:tc>
      </w:tr>
      <w:tr>
        <w:trPr>
          <w:trHeight w:val="204"/>
        </w:trPr>
        <w:tc>
          <w:tcPr>
            <w:tcW w:w="3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Committed facility</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142,000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140,782</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At December 31, 2021</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100" w:type="dxa"/>
            <w:vAlign w:val="bottom"/>
          </w:tcPr>
          <w:p>
            <w:pPr>
              <w:spacing w:after="0"/>
              <w:rPr>
                <w:sz w:val="10"/>
                <w:szCs w:val="10"/>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Financing Available</w:t>
            </w:r>
          </w:p>
        </w:tc>
        <w:tc>
          <w:tcPr>
            <w:tcW w:w="200" w:type="dxa"/>
            <w:vAlign w:val="bottom"/>
          </w:tcPr>
          <w:p>
            <w:pPr>
              <w:spacing w:after="0"/>
              <w:rPr>
                <w:sz w:val="10"/>
                <w:szCs w:val="10"/>
                <w:color w:val="auto"/>
              </w:rPr>
            </w:pPr>
          </w:p>
        </w:tc>
        <w:tc>
          <w:tcPr>
            <w:tcW w:w="132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w w:val="99"/>
              </w:rPr>
              <w:t>Borrowing</w:t>
            </w:r>
          </w:p>
        </w:tc>
        <w:tc>
          <w:tcPr>
            <w:tcW w:w="180" w:type="dxa"/>
            <w:vAlign w:val="bottom"/>
          </w:tcPr>
          <w:p>
            <w:pPr>
              <w:spacing w:after="0"/>
              <w:rPr>
                <w:sz w:val="10"/>
                <w:szCs w:val="10"/>
                <w:color w:val="auto"/>
              </w:rPr>
            </w:pPr>
          </w:p>
        </w:tc>
        <w:tc>
          <w:tcPr>
            <w:tcW w:w="134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0"/>
                <w:szCs w:val="10"/>
                <w:color w:val="auto"/>
              </w:rPr>
            </w:pPr>
          </w:p>
        </w:tc>
        <w:tc>
          <w:tcPr>
            <w:tcW w:w="1280" w:type="dxa"/>
            <w:vAlign w:val="bottom"/>
          </w:tcPr>
          <w:p>
            <w:pPr>
              <w:jc w:val="right"/>
              <w:ind w:right="290"/>
              <w:spacing w:after="0" w:line="124"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370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8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60" w:type="dxa"/>
            <w:vAlign w:val="bottom"/>
          </w:tcPr>
          <w:p>
            <w:pPr>
              <w:spacing w:after="0"/>
              <w:rPr>
                <w:sz w:val="16"/>
                <w:szCs w:val="16"/>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196"/>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Uncommitted facility</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58,000</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56,454</w:t>
            </w:r>
          </w:p>
        </w:tc>
        <w:tc>
          <w:tcPr>
            <w:tcW w:w="0" w:type="dxa"/>
            <w:vAlign w:val="bottom"/>
          </w:tcPr>
          <w:p>
            <w:pPr>
              <w:spacing w:after="0"/>
              <w:rPr>
                <w:sz w:val="1"/>
                <w:szCs w:val="1"/>
                <w:color w:val="auto"/>
              </w:rPr>
            </w:pPr>
          </w:p>
        </w:tc>
      </w:tr>
      <w:tr>
        <w:trPr>
          <w:trHeight w:val="197"/>
        </w:trPr>
        <w:tc>
          <w:tcPr>
            <w:tcW w:w="3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Committed facility</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58,000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56,454</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300" w:firstLine="629"/>
        <w:spacing w:after="0" w:line="296" w:lineRule="auto"/>
        <w:rPr>
          <w:sz w:val="20"/>
          <w:szCs w:val="20"/>
          <w:color w:val="auto"/>
        </w:rPr>
      </w:pPr>
      <w:r>
        <w:rPr>
          <w:rFonts w:ascii="Times New Roman" w:cs="Times New Roman" w:eastAsia="Times New Roman" w:hAnsi="Times New Roman"/>
          <w:sz w:val="17"/>
          <w:szCs w:val="17"/>
          <w:color w:val="auto"/>
        </w:rPr>
        <w:t>The following summarizes interest expense for the broker-dealer facilities. Interest expense is included within Interest and dividends expense in the accompanying Condensed Consolidated Statements of Comprehensive Income.</w:t>
      </w:r>
    </w:p>
    <w:p>
      <w:pPr>
        <w:spacing w:after="0" w:line="206" w:lineRule="exact"/>
        <w:rPr>
          <w:sz w:val="20"/>
          <w:szCs w:val="20"/>
          <w:color w:val="auto"/>
        </w:rPr>
      </w:pPr>
    </w:p>
    <w:tbl>
      <w:tblPr>
        <w:tblLayout w:type="fixed"/>
        <w:tblInd w:w="152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4"/>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Uncommitted facility</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504</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204"/>
        </w:trPr>
        <w:tc>
          <w:tcPr>
            <w:tcW w:w="5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Committed facility</w:t>
            </w:r>
          </w:p>
        </w:tc>
        <w:tc>
          <w:tcPr>
            <w:tcW w:w="2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519</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0" w:type="dxa"/>
            <w:vAlign w:val="bottom"/>
          </w:tcPr>
          <w:p>
            <w:pPr>
              <w:spacing w:after="0"/>
              <w:rPr>
                <w:sz w:val="1"/>
                <w:szCs w:val="1"/>
                <w:color w:val="auto"/>
              </w:rPr>
            </w:pPr>
          </w:p>
        </w:tc>
      </w:tr>
      <w:tr>
        <w:trPr>
          <w:trHeight w:val="26"/>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Short-Term Bank Loans</w:t>
      </w:r>
    </w:p>
    <w:p>
      <w:pPr>
        <w:spacing w:after="0" w:line="252" w:lineRule="exact"/>
        <w:rPr>
          <w:sz w:val="20"/>
          <w:szCs w:val="20"/>
          <w:color w:val="auto"/>
        </w:rPr>
      </w:pPr>
    </w:p>
    <w:p>
      <w:pPr>
        <w:ind w:right="100" w:firstLine="629"/>
        <w:spacing w:after="0" w:line="267" w:lineRule="auto"/>
        <w:rPr>
          <w:sz w:val="20"/>
          <w:szCs w:val="20"/>
          <w:color w:val="auto"/>
        </w:rPr>
      </w:pPr>
      <w:r>
        <w:rPr>
          <w:rFonts w:ascii="Times New Roman" w:cs="Times New Roman" w:eastAsia="Times New Roman" w:hAnsi="Times New Roman"/>
          <w:sz w:val="17"/>
          <w:szCs w:val="17"/>
          <w:color w:val="auto"/>
        </w:rPr>
        <w:t>The Company’s international securities clearance and settlement activities are funded with operating cash or with short-term bank loans in the form of overdraft facilities. At March 31, 2022, there was no balance associated with international settlement activities outstanding under these facilities. At December 31, 2021, there was $5.1 million associated with international settlement activities outstanding under these facilities at a weighted average interest rate of approximately 4.2%. These short-term bank loan balances are included within Short-term borrowings on the Condensed Consolidated Statements of Financial Condition.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Prime Brokerage Credit Facilities</w:t>
      </w:r>
    </w:p>
    <w:p>
      <w:pPr>
        <w:spacing w:after="0" w:line="254" w:lineRule="exact"/>
        <w:rPr>
          <w:sz w:val="20"/>
          <w:szCs w:val="20"/>
          <w:color w:val="auto"/>
        </w:rPr>
      </w:pPr>
    </w:p>
    <w:p>
      <w:pPr>
        <w:jc w:val="both"/>
        <w:ind w:right="360" w:firstLine="629"/>
        <w:spacing w:after="0" w:line="276" w:lineRule="auto"/>
        <w:rPr>
          <w:sz w:val="20"/>
          <w:szCs w:val="20"/>
          <w:color w:val="auto"/>
        </w:rPr>
      </w:pPr>
      <w:r>
        <w:rPr>
          <w:rFonts w:ascii="Times New Roman" w:cs="Times New Roman" w:eastAsia="Times New Roman" w:hAnsi="Times New Roman"/>
          <w:sz w:val="17"/>
          <w:szCs w:val="17"/>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At March 31, 2022</w:t>
            </w:r>
          </w:p>
        </w:tc>
        <w:tc>
          <w:tcPr>
            <w:tcW w:w="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4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320" w:type="dxa"/>
            <w:vAlign w:val="bottom"/>
          </w:tcPr>
          <w:p>
            <w:pPr>
              <w:spacing w:after="0"/>
              <w:rPr>
                <w:sz w:val="10"/>
                <w:szCs w:val="10"/>
                <w:color w:val="auto"/>
              </w:rPr>
            </w:pPr>
          </w:p>
        </w:tc>
        <w:tc>
          <w:tcPr>
            <w:tcW w:w="2020" w:type="dxa"/>
            <w:vAlign w:val="bottom"/>
            <w:gridSpan w:val="2"/>
          </w:tcPr>
          <w:p>
            <w:pPr>
              <w:jc w:val="center"/>
              <w:ind w:right="420"/>
              <w:spacing w:after="0" w:line="126"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420" w:type="dxa"/>
            <w:vAlign w:val="bottom"/>
          </w:tcPr>
          <w:p>
            <w:pPr>
              <w:spacing w:after="0"/>
              <w:rPr>
                <w:sz w:val="10"/>
                <w:szCs w:val="10"/>
                <w:color w:val="auto"/>
              </w:rPr>
            </w:pPr>
          </w:p>
        </w:tc>
        <w:tc>
          <w:tcPr>
            <w:tcW w:w="1820" w:type="dxa"/>
            <w:vAlign w:val="bottom"/>
          </w:tcPr>
          <w:p>
            <w:pPr>
              <w:jc w:val="right"/>
              <w:ind w:right="730"/>
              <w:spacing w:after="0" w:line="126"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0" w:type="dxa"/>
            <w:vAlign w:val="bottom"/>
          </w:tcPr>
          <w:p>
            <w:pPr>
              <w:spacing w:after="0"/>
              <w:rPr>
                <w:sz w:val="1"/>
                <w:szCs w:val="1"/>
                <w:color w:val="auto"/>
              </w:rPr>
            </w:pPr>
          </w:p>
        </w:tc>
      </w:tr>
      <w:tr>
        <w:trPr>
          <w:trHeight w:val="190"/>
        </w:trPr>
        <w:tc>
          <w:tcPr>
            <w:tcW w:w="4220" w:type="dxa"/>
            <w:vAlign w:val="bottom"/>
            <w:gridSpan w:val="2"/>
            <w:vMerge w:val="continue"/>
          </w:tcPr>
          <w:p>
            <w:pPr>
              <w:spacing w:after="0"/>
              <w:rPr>
                <w:sz w:val="16"/>
                <w:szCs w:val="16"/>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320" w:type="dxa"/>
            <w:vAlign w:val="bottom"/>
          </w:tcPr>
          <w:p>
            <w:pPr>
              <w:spacing w:after="0"/>
              <w:rPr>
                <w:sz w:val="16"/>
                <w:szCs w:val="16"/>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420" w:type="dxa"/>
            <w:vAlign w:val="bottom"/>
          </w:tcPr>
          <w:p>
            <w:pPr>
              <w:spacing w:after="0"/>
              <w:rPr>
                <w:sz w:val="16"/>
                <w:szCs w:val="16"/>
                <w:color w:val="auto"/>
              </w:rPr>
            </w:pPr>
          </w:p>
        </w:tc>
        <w:tc>
          <w:tcPr>
            <w:tcW w:w="1820" w:type="dxa"/>
            <w:vAlign w:val="bottom"/>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5"/>
        </w:trPr>
        <w:tc>
          <w:tcPr>
            <w:tcW w:w="4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Prime Brokerage Credit Facilities:</w:t>
            </w:r>
          </w:p>
        </w:tc>
        <w:tc>
          <w:tcPr>
            <w:tcW w:w="10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3.40%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616,000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314,339</w:t>
            </w:r>
          </w:p>
        </w:tc>
        <w:tc>
          <w:tcPr>
            <w:tcW w:w="0" w:type="dxa"/>
            <w:vAlign w:val="bottom"/>
          </w:tcPr>
          <w:p>
            <w:pPr>
              <w:spacing w:after="0"/>
              <w:rPr>
                <w:sz w:val="1"/>
                <w:szCs w:val="1"/>
                <w:color w:val="auto"/>
              </w:rPr>
            </w:pPr>
          </w:p>
        </w:tc>
      </w:tr>
      <w:tr>
        <w:trPr>
          <w:trHeight w:val="215"/>
        </w:trPr>
        <w:tc>
          <w:tcPr>
            <w:tcW w:w="4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616,000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314,339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At December 31, 2021</w:t>
            </w:r>
          </w:p>
        </w:tc>
        <w:tc>
          <w:tcPr>
            <w:tcW w:w="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0"/>
                <w:szCs w:val="10"/>
                <w:color w:val="auto"/>
              </w:rPr>
            </w:pPr>
          </w:p>
        </w:tc>
        <w:tc>
          <w:tcPr>
            <w:tcW w:w="234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60" w:type="dxa"/>
            <w:vAlign w:val="bottom"/>
          </w:tcPr>
          <w:p>
            <w:pPr>
              <w:spacing w:after="0"/>
              <w:rPr>
                <w:sz w:val="10"/>
                <w:szCs w:val="10"/>
                <w:color w:val="auto"/>
              </w:rPr>
            </w:pPr>
          </w:p>
        </w:tc>
        <w:tc>
          <w:tcPr>
            <w:tcW w:w="208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420" w:type="dxa"/>
            <w:vAlign w:val="bottom"/>
          </w:tcPr>
          <w:p>
            <w:pPr>
              <w:spacing w:after="0"/>
              <w:rPr>
                <w:sz w:val="10"/>
                <w:szCs w:val="10"/>
                <w:color w:val="auto"/>
              </w:rPr>
            </w:pPr>
          </w:p>
        </w:tc>
        <w:tc>
          <w:tcPr>
            <w:tcW w:w="1820" w:type="dxa"/>
            <w:vAlign w:val="bottom"/>
          </w:tcPr>
          <w:p>
            <w:pPr>
              <w:jc w:val="right"/>
              <w:ind w:right="730"/>
              <w:spacing w:after="0" w:line="124"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28"/>
        </w:trPr>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Prime Brokerage Credit Facilities:</w:t>
            </w:r>
          </w:p>
        </w:tc>
        <w:tc>
          <w:tcPr>
            <w:tcW w:w="2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2.91%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616,000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177,080</w:t>
            </w:r>
          </w:p>
        </w:tc>
        <w:tc>
          <w:tcPr>
            <w:tcW w:w="0" w:type="dxa"/>
            <w:vAlign w:val="bottom"/>
          </w:tcPr>
          <w:p>
            <w:pPr>
              <w:spacing w:after="0"/>
              <w:rPr>
                <w:sz w:val="1"/>
                <w:szCs w:val="1"/>
                <w:color w:val="auto"/>
              </w:rPr>
            </w:pPr>
          </w:p>
        </w:tc>
      </w:tr>
      <w:tr>
        <w:trPr>
          <w:trHeight w:val="235"/>
        </w:trPr>
        <w:tc>
          <w:tcPr>
            <w:tcW w:w="4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616,000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177,080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Outstanding borrowings are included with Receivables from/Payables to broker-dealers and clearing organizations within the Condensed Consolidated Statements of Financial Condition.</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Interest expense in relation to the facilities was $1.6 million and $1.0 million for the three months ended March 31, 2022 and 2021, respectively.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Borrowings</w:t>
      </w:r>
    </w:p>
    <w:p>
      <w:pPr>
        <w:spacing w:after="0" w:line="2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summarizes the Company’s long-term borrowings, net of unamortized discount and debt issuance costs, where applicable:</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At March 31, 2022</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gridSpan w:val="2"/>
            <w:vMerge w:val="continue"/>
          </w:tcPr>
          <w:p>
            <w:pPr>
              <w:spacing w:after="0"/>
              <w:rPr>
                <w:sz w:val="10"/>
                <w:szCs w:val="10"/>
                <w:color w:val="auto"/>
              </w:rPr>
            </w:pPr>
          </w:p>
        </w:tc>
        <w:tc>
          <w:tcPr>
            <w:tcW w:w="90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60" w:type="dxa"/>
            <w:vAlign w:val="bottom"/>
          </w:tcPr>
          <w:p>
            <w:pPr>
              <w:spacing w:after="0"/>
              <w:rPr>
                <w:sz w:val="10"/>
                <w:szCs w:val="10"/>
                <w:color w:val="auto"/>
              </w:rPr>
            </w:pPr>
          </w:p>
        </w:tc>
        <w:tc>
          <w:tcPr>
            <w:tcW w:w="114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14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40" w:type="dxa"/>
            <w:vAlign w:val="bottom"/>
          </w:tcPr>
          <w:p>
            <w:pPr>
              <w:spacing w:after="0"/>
              <w:rPr>
                <w:sz w:val="10"/>
                <w:szCs w:val="10"/>
                <w:color w:val="auto"/>
              </w:rPr>
            </w:pPr>
          </w:p>
        </w:tc>
        <w:tc>
          <w:tcPr>
            <w:tcW w:w="1180" w:type="dxa"/>
            <w:vAlign w:val="bottom"/>
            <w:gridSpan w:val="2"/>
          </w:tcPr>
          <w:p>
            <w:pPr>
              <w:ind w:left="40"/>
              <w:spacing w:after="0" w:line="126"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0"/>
                <w:szCs w:val="10"/>
                <w:color w:val="auto"/>
              </w:rPr>
            </w:pPr>
          </w:p>
        </w:tc>
        <w:tc>
          <w:tcPr>
            <w:tcW w:w="1240" w:type="dxa"/>
            <w:vAlign w:val="bottom"/>
          </w:tcPr>
          <w:p>
            <w:pPr>
              <w:jc w:val="right"/>
              <w:ind w:right="250"/>
              <w:spacing w:after="0" w:line="12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3860" w:type="dxa"/>
            <w:vAlign w:val="bottom"/>
            <w:gridSpan w:val="2"/>
            <w:vMerge w:val="continue"/>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60" w:type="dxa"/>
            <w:vAlign w:val="bottom"/>
          </w:tcPr>
          <w:p>
            <w:pPr>
              <w:spacing w:after="0"/>
              <w:rPr>
                <w:sz w:val="16"/>
                <w:szCs w:val="16"/>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195"/>
        </w:trPr>
        <w:tc>
          <w:tcPr>
            <w:tcW w:w="3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Long-term borrowings:</w:t>
            </w: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First Lien Term Loan Facility</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January 2029</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(30,179)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1,765,457</w:t>
            </w:r>
          </w:p>
        </w:tc>
        <w:tc>
          <w:tcPr>
            <w:tcW w:w="0" w:type="dxa"/>
            <w:vAlign w:val="bottom"/>
          </w:tcPr>
          <w:p>
            <w:pPr>
              <w:spacing w:after="0"/>
              <w:rPr>
                <w:sz w:val="1"/>
                <w:szCs w:val="1"/>
                <w:color w:val="auto"/>
              </w:rPr>
            </w:pPr>
          </w:p>
        </w:tc>
      </w:tr>
      <w:tr>
        <w:trPr>
          <w:trHeight w:val="197"/>
        </w:trPr>
        <w:tc>
          <w:tcPr>
            <w:tcW w:w="3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SBI bonds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January 2023</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28,743</w:t>
            </w: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1,828,759</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(30,195)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1,794,200</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At December 31, 2021</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90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60" w:type="dxa"/>
            <w:vAlign w:val="bottom"/>
          </w:tcPr>
          <w:p>
            <w:pPr>
              <w:spacing w:after="0"/>
              <w:rPr>
                <w:sz w:val="10"/>
                <w:szCs w:val="10"/>
                <w:color w:val="auto"/>
              </w:rPr>
            </w:pPr>
          </w:p>
        </w:tc>
        <w:tc>
          <w:tcPr>
            <w:tcW w:w="114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0"/>
                <w:szCs w:val="10"/>
                <w:color w:val="auto"/>
              </w:rPr>
            </w:pPr>
          </w:p>
        </w:tc>
        <w:tc>
          <w:tcPr>
            <w:tcW w:w="86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ind w:left="40"/>
              <w:spacing w:after="0" w:line="126"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0"/>
                <w:szCs w:val="10"/>
                <w:color w:val="auto"/>
              </w:rPr>
            </w:pPr>
          </w:p>
        </w:tc>
        <w:tc>
          <w:tcPr>
            <w:tcW w:w="1240" w:type="dxa"/>
            <w:vAlign w:val="bottom"/>
          </w:tcPr>
          <w:p>
            <w:pPr>
              <w:jc w:val="right"/>
              <w:ind w:right="250"/>
              <w:spacing w:after="0" w:line="12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3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227"/>
        </w:trPr>
        <w:tc>
          <w:tcPr>
            <w:tcW w:w="3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Long-term borrowings:</w:t>
            </w: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First Lien Term Loan Facility</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March 2026</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3.10%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1,599,774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1,574,431</w:t>
            </w:r>
          </w:p>
        </w:tc>
        <w:tc>
          <w:tcPr>
            <w:tcW w:w="0" w:type="dxa"/>
            <w:vAlign w:val="bottom"/>
          </w:tcPr>
          <w:p>
            <w:pPr>
              <w:spacing w:after="0"/>
              <w:rPr>
                <w:sz w:val="1"/>
                <w:szCs w:val="1"/>
                <w:color w:val="auto"/>
              </w:rPr>
            </w:pPr>
          </w:p>
        </w:tc>
      </w:tr>
      <w:tr>
        <w:trPr>
          <w:trHeight w:val="197"/>
        </w:trPr>
        <w:tc>
          <w:tcPr>
            <w:tcW w:w="3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SBI bonds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January 2023</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30,701</w:t>
            </w: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1,630,496</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(21,641)</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1,605,132</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Agreements</w:t>
      </w:r>
    </w:p>
    <w:p>
      <w:pPr>
        <w:spacing w:after="0" w:line="252" w:lineRule="exact"/>
        <w:rPr>
          <w:sz w:val="20"/>
          <w:szCs w:val="20"/>
          <w:color w:val="auto"/>
        </w:rPr>
      </w:pPr>
    </w:p>
    <w:p>
      <w:pPr>
        <w:ind w:right="360" w:firstLine="629"/>
        <w:spacing w:after="0" w:line="276" w:lineRule="auto"/>
        <w:rPr>
          <w:sz w:val="20"/>
          <w:szCs w:val="20"/>
          <w:color w:val="auto"/>
        </w:rPr>
      </w:pPr>
      <w:r>
        <w:rPr>
          <w:rFonts w:ascii="Times New Roman" w:cs="Times New Roman" w:eastAsia="Times New Roman" w:hAnsi="Times New Roman"/>
          <w:sz w:val="17"/>
          <w:szCs w:val="17"/>
          <w:color w:val="auto"/>
        </w:rPr>
        <w:t>In connection with the ITG Acquisition, Virtu Financial, VFH, and Impala Borrower LLC (the "Acquisition Borrower") entered into a credit agreement, with the lenders party thereto, Jefferies Finance LLC, as administrative agent and Jefferies Finance LLC and RBC Capital Markets, as joint lead arrangers and joint bookrunners (the "Acquisition Credit Agreement").</w:t>
      </w:r>
    </w:p>
    <w:p>
      <w:pPr>
        <w:spacing w:after="0" w:line="177" w:lineRule="exact"/>
        <w:rPr>
          <w:sz w:val="20"/>
          <w:szCs w:val="20"/>
          <w:color w:val="auto"/>
        </w:rPr>
      </w:pPr>
    </w:p>
    <w:p>
      <w:pPr>
        <w:ind w:right="40" w:firstLine="629"/>
        <w:spacing w:after="0" w:line="243" w:lineRule="auto"/>
        <w:rPr>
          <w:sz w:val="20"/>
          <w:szCs w:val="20"/>
          <w:color w:val="auto"/>
        </w:rPr>
      </w:pPr>
      <w:r>
        <w:rPr>
          <w:rFonts w:ascii="Times New Roman" w:cs="Times New Roman" w:eastAsia="Times New Roman" w:hAnsi="Times New Roman"/>
          <w:sz w:val="17"/>
          <w:szCs w:val="17"/>
          <w:color w:val="auto"/>
        </w:rPr>
        <w:t>The Acquisition Credit Agreement provided (i) a senior secured first lien term loan (together with the Acquisition Incremental Term Loans, as defined below; the “Acquisition First Lien Term Loan Facility”) in an aggregate principal amount of $1,500 million, drawn in its entirety on the ITG Closing Date, of which amount approximately $404.5 million was borrowed by VFH to repay all amounts outstanding under a previous term loan facility and the remaining approximately $1,095 million was borrowed by Impala Borrower LLC (the "Acquisition Borrower"), to finance the consideration and fees and expenses paid in connection with the ITG Acquisition, and (ii) a $50.0 million senior secured first lien revolving facility to VFH, with a $5.0 million letter of credit subfacility and a $5.0 million swingline subfacility. After the ITG Closing Date, VFH assumed the obligations of the Acquisition Borrower in respect of the acquisition term loans. On October 9, 2019, VFH entered into an amendment, which amended the Acquisition Credit Agreement dated as of March 1, 2019 to, among other things, provide for $525.0 million in aggregate principal amount of incremental term loans (the “Acquisition Incremental Term Loans”), and amend the related collateral agreement. On March 2, 2020, VFH entered into a second amendment, which further amended the Acquisition Credit Agreement to, among other things, reduce the interest rate spread over adjusted LIBOR or the alternate base rate by 0.50% per annum and eliminated any step-down in the spread based on VFH's first lien leverage ratio. There were no outstanding borrowings under the Acquisition Credit Agreement as of March 31, 2022.</w:t>
      </w:r>
    </w:p>
    <w:p>
      <w:pPr>
        <w:spacing w:after="0" w:line="207" w:lineRule="exact"/>
        <w:rPr>
          <w:sz w:val="20"/>
          <w:szCs w:val="20"/>
          <w:color w:val="auto"/>
        </w:rPr>
      </w:pPr>
    </w:p>
    <w:p>
      <w:pPr>
        <w:ind w:right="60" w:firstLine="629"/>
        <w:spacing w:after="0" w:line="253" w:lineRule="auto"/>
        <w:rPr>
          <w:sz w:val="20"/>
          <w:szCs w:val="20"/>
          <w:color w:val="auto"/>
        </w:rPr>
      </w:pPr>
      <w:r>
        <w:rPr>
          <w:rFonts w:ascii="Times New Roman" w:cs="Times New Roman" w:eastAsia="Times New Roman" w:hAnsi="Times New Roman"/>
          <w:sz w:val="17"/>
          <w:szCs w:val="17"/>
          <w:color w:val="auto"/>
        </w:rPr>
        <w:t>On January 13, 2022 (the “Credit Agreement Closing Date”), Virtu Financial, VFH Parent LLC, a Delaware limited liability company and a subsidiary of Virtu Financial (“VFH”), entered into the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The Credit Agreement provides (i) a senior secured first lien</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term loan in an aggregate principal amount of $1,800.0 million, drawn in its entirety on the Credit Agreement Closing Date, the proceeds of which were used by VFH to repay all amounts outstanding under the Acquisition Credit Agreement (as defined below),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207" w:lineRule="exact"/>
        <w:rPr>
          <w:sz w:val="20"/>
          <w:szCs w:val="20"/>
          <w:color w:val="auto"/>
        </w:rPr>
      </w:pPr>
    </w:p>
    <w:p>
      <w:pPr>
        <w:ind w:right="160" w:firstLine="629"/>
        <w:spacing w:after="0" w:line="262" w:lineRule="auto"/>
        <w:rPr>
          <w:sz w:val="20"/>
          <w:szCs w:val="20"/>
          <w:color w:val="auto"/>
        </w:rPr>
      </w:pPr>
      <w:r>
        <w:rPr>
          <w:rFonts w:ascii="Times New Roman" w:cs="Times New Roman" w:eastAsia="Times New Roman" w:hAnsi="Times New Roman"/>
          <w:sz w:val="17"/>
          <w:szCs w:val="17"/>
          <w:color w:val="auto"/>
        </w:rPr>
        <w:t>The term loan borrowings and revolver borrowings under the Credit Agreement bear interest at a per annum rate equal to, at the Company’s election, either (i) the greatest of (a) the prime rate in effect, (b) the greater of (1) the federal funds effective rate and (2) the overnight bank funding rate, in each case plus 0.50%, (c) an adjusted term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spacing w:after="0" w:line="205" w:lineRule="exact"/>
        <w:rPr>
          <w:sz w:val="20"/>
          <w:szCs w:val="20"/>
          <w:color w:val="auto"/>
        </w:rPr>
      </w:pPr>
    </w:p>
    <w:p>
      <w:pPr>
        <w:ind w:right="160" w:firstLine="629"/>
        <w:spacing w:after="0" w:line="267" w:lineRule="auto"/>
        <w:rPr>
          <w:sz w:val="20"/>
          <w:szCs w:val="20"/>
          <w:color w:val="auto"/>
        </w:rPr>
      </w:pPr>
      <w:r>
        <w:rPr>
          <w:rFonts w:ascii="Times New Roman" w:cs="Times New Roman" w:eastAsia="Times New Roman" w:hAnsi="Times New Roman"/>
          <w:sz w:val="17"/>
          <w:szCs w:val="17"/>
          <w:color w:val="auto"/>
        </w:rPr>
        <w:t>The revolving facility under the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196" w:lineRule="exact"/>
        <w:rPr>
          <w:sz w:val="20"/>
          <w:szCs w:val="20"/>
          <w:color w:val="auto"/>
        </w:rPr>
      </w:pPr>
    </w:p>
    <w:p>
      <w:pPr>
        <w:jc w:val="both"/>
        <w:ind w:right="420" w:firstLine="629"/>
        <w:spacing w:after="0" w:line="270" w:lineRule="auto"/>
        <w:rPr>
          <w:sz w:val="20"/>
          <w:szCs w:val="20"/>
          <w:color w:val="auto"/>
        </w:rPr>
      </w:pPr>
      <w:r>
        <w:rPr>
          <w:rFonts w:ascii="Times New Roman" w:cs="Times New Roman" w:eastAsia="Times New Roman" w:hAnsi="Times New Roman"/>
          <w:sz w:val="17"/>
          <w:szCs w:val="17"/>
          <w:color w:val="auto"/>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spacing w:after="0" w:line="194" w:lineRule="exact"/>
        <w:rPr>
          <w:sz w:val="20"/>
          <w:szCs w:val="20"/>
          <w:color w:val="auto"/>
        </w:rPr>
      </w:pPr>
    </w:p>
    <w:p>
      <w:pPr>
        <w:ind w:right="240" w:firstLine="629"/>
        <w:spacing w:after="0" w:line="276" w:lineRule="auto"/>
        <w:rPr>
          <w:sz w:val="20"/>
          <w:szCs w:val="20"/>
          <w:color w:val="auto"/>
        </w:rPr>
      </w:pPr>
      <w:r>
        <w:rPr>
          <w:rFonts w:ascii="Times New Roman" w:cs="Times New Roman" w:eastAsia="Times New Roman" w:hAnsi="Times New Roman"/>
          <w:sz w:val="17"/>
          <w:szCs w:val="17"/>
          <w:color w:val="auto"/>
        </w:rPr>
        <w:t>Under the Credit Agreement, the term loans will mature on January 13, 2029. The term loans amortize in annual installments equal to 1.0% of the original aggregate principal amount of the term loans. The revolving commitments will terminate on January 13, 2025. As of March 31, 2022, $1,800 million was outstanding under the term loans.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firstLine="629"/>
        <w:spacing w:after="0" w:line="244" w:lineRule="auto"/>
        <w:rPr>
          <w:sz w:val="20"/>
          <w:szCs w:val="20"/>
          <w:color w:val="auto"/>
        </w:rPr>
      </w:pPr>
      <w:r>
        <w:rPr>
          <w:rFonts w:ascii="Times New Roman" w:cs="Times New Roman" w:eastAsia="Times New Roman" w:hAnsi="Times New Roman"/>
          <w:sz w:val="17"/>
          <w:szCs w:val="17"/>
          <w:color w:val="auto"/>
        </w:rPr>
        <w:t>In October 2019, the Company entered into a five-year $525 million floating-to-fixed interest rate swap agreement. In January 2020, the Company also entered into a five-year $1,000 million floating-to-fixed interest rate swap agreement. These two interest rate swaps met the criteria to be considered and were designated qualifying cash flow hedges under ASC 815 in the first quarter of 2020, and they effectively fixed interest payment obligations on $525.0 million and $1,000 million of principal under the Acquisition First Lien Term Loan Facility at rates of 4.3% and 4.4% through September 2024 and January 2025, respectively, based on the interest rates set forth in the Acquisition Credit Agreement.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 In January 2022, in order to align the swap agreements with the Credit Agreement, the Company amended each</w:t>
      </w:r>
    </w:p>
    <w:p>
      <w:pPr>
        <w:spacing w:after="0" w:line="8"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7"/>
          <w:szCs w:val="17"/>
          <w:color w:val="auto"/>
        </w:rPr>
        <w:t>of the swap agreements to align the floating rate term of such swap agreements to SOFR. The effective fixed interest payment obligations remained at 4.5%, with respect to the earlier maturing swap arrangement, and 4.6% with respect to the later maturing swap arrangement.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SBI Bonds</w:t>
      </w:r>
    </w:p>
    <w:p>
      <w:pPr>
        <w:spacing w:after="0" w:line="252" w:lineRule="exact"/>
        <w:rPr>
          <w:sz w:val="20"/>
          <w:szCs w:val="20"/>
          <w:color w:val="auto"/>
        </w:rPr>
      </w:pPr>
    </w:p>
    <w:p>
      <w:pPr>
        <w:ind w:right="100" w:firstLine="629"/>
        <w:spacing w:after="0" w:line="263" w:lineRule="auto"/>
        <w:rPr>
          <w:sz w:val="20"/>
          <w:szCs w:val="20"/>
          <w:color w:val="auto"/>
        </w:rPr>
      </w:pPr>
      <w:r>
        <w:rPr>
          <w:rFonts w:ascii="Times New Roman" w:cs="Times New Roman" w:eastAsia="Times New Roman" w:hAnsi="Times New Roman"/>
          <w:sz w:val="17"/>
          <w:szCs w:val="17"/>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Japannext Co., Ltd. (as described in Note 9 "Financial Assets and Liabilities"). The SBI Bonds are guaranteed by Virtu Financial. The SBI Bonds are subject to fluctuations on the Japanese Yen currency rates relative to the Company’s reporting currency (U.S. Dollar) with the changes reflected in Other, net in the Condensed Consolidated Statements of Comprehensive Income. In December 2019, the maturity date of the SBI Bonds was extended to January 2023. The principal balance was ¥3.5 billion ($28.8 million) as of March 31, 2022 and ¥3.5 billion ($30.7 million) as of December 31, 2021. The Company had a gain of $2.0 million, and a gain of $2.3 million, during the three months ended March 31, 2022 and 2021, respectively, due to changes in foreign currency rates.</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As of March 31, 2022, aggregate future required minimum principal payments based on the terms of the long-term borrowings were as follows:</w:t>
      </w:r>
    </w:p>
    <w:p>
      <w:pPr>
        <w:spacing w:after="0" w:line="283" w:lineRule="exact"/>
        <w:rPr>
          <w:sz w:val="20"/>
          <w:szCs w:val="20"/>
          <w:color w:val="auto"/>
        </w:rPr>
      </w:pPr>
    </w:p>
    <w:tbl>
      <w:tblPr>
        <w:tblLayout w:type="fixed"/>
        <w:tblInd w:w="3440" w:type="dxa"/>
        <w:tblCellMar>
          <w:top w:w="0" w:type="dxa"/>
          <w:left w:w="0" w:type="dxa"/>
          <w:bottom w:w="0" w:type="dxa"/>
          <w:right w:w="0" w:type="dxa"/>
        </w:tblCellMar>
      </w:tblPr>
      <w:tr>
        <w:trPr>
          <w:trHeight w:val="18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70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3"/>
        </w:trPr>
        <w:tc>
          <w:tcPr>
            <w:tcW w:w="2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28,759</w:t>
            </w:r>
          </w:p>
        </w:tc>
      </w:tr>
      <w:tr>
        <w:trPr>
          <w:trHeight w:val="20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2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1,800,000</w:t>
            </w:r>
          </w:p>
        </w:tc>
      </w:tr>
      <w:tr>
        <w:trPr>
          <w:trHeight w:val="221"/>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principal of long-term borrowings</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1,828,759</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Financial Assets and Liabilities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Instruments Measured at Fair Value</w:t>
      </w:r>
    </w:p>
    <w:p>
      <w:pPr>
        <w:spacing w:after="0" w:line="252" w:lineRule="exact"/>
        <w:rPr>
          <w:sz w:val="20"/>
          <w:szCs w:val="20"/>
          <w:color w:val="auto"/>
        </w:rPr>
      </w:pPr>
    </w:p>
    <w:p>
      <w:pPr>
        <w:ind w:right="40" w:firstLine="629"/>
        <w:spacing w:after="0" w:line="263" w:lineRule="auto"/>
        <w:rPr>
          <w:sz w:val="20"/>
          <w:szCs w:val="20"/>
          <w:color w:val="auto"/>
        </w:rPr>
      </w:pPr>
      <w:r>
        <w:rPr>
          <w:rFonts w:ascii="Times New Roman" w:cs="Times New Roman" w:eastAsia="Times New Roman" w:hAnsi="Times New Roman"/>
          <w:sz w:val="17"/>
          <w:szCs w:val="17"/>
          <w:color w:val="auto"/>
        </w:rPr>
        <w:t>The fair value of equities, options, on-the-run U.S. government obligations and exchange traded notes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and other U.S. and non-U.S. government obligations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spacing w:after="0" w:line="203"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 be substantiated with market inputs and checks the theoretical prices independently. Consequently, such financial instruments are classified as Level 2.</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Fair value measurements for those items measured on a recurring basis are summarized below as of March 31, 2022:</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80" w:type="dxa"/>
            <w:vAlign w:val="bottom"/>
          </w:tcPr>
          <w:p>
            <w:pPr>
              <w:spacing w:after="0"/>
              <w:rPr>
                <w:sz w:val="10"/>
                <w:szCs w:val="10"/>
                <w:color w:val="auto"/>
              </w:rPr>
            </w:pPr>
          </w:p>
        </w:tc>
        <w:tc>
          <w:tcPr>
            <w:tcW w:w="13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100" w:type="dxa"/>
            <w:vAlign w:val="bottom"/>
          </w:tcPr>
          <w:p>
            <w:pPr>
              <w:spacing w:after="0"/>
              <w:rPr>
                <w:sz w:val="10"/>
                <w:szCs w:val="10"/>
                <w:color w:val="auto"/>
              </w:rPr>
            </w:pP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0"/>
                <w:szCs w:val="10"/>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and</w:t>
            </w: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2"/>
                <w:szCs w:val="12"/>
                <w:color w:val="auto"/>
              </w:rPr>
            </w:pPr>
          </w:p>
        </w:tc>
        <w:tc>
          <w:tcPr>
            <w:tcW w:w="132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4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2"/>
                <w:szCs w:val="12"/>
                <w:color w:val="auto"/>
              </w:rPr>
            </w:pPr>
          </w:p>
        </w:tc>
        <w:tc>
          <w:tcPr>
            <w:tcW w:w="132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1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0"/>
        </w:trPr>
        <w:tc>
          <w:tcPr>
            <w:tcW w:w="44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842,802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2,879,989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3,722,791</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432,338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454,026</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613,885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613,885</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4,705</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382,092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(363,676)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18,416</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19,355</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1,294,512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3,902,342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(363,676)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4,833,178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instruments owned, pledged as collateral:</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721,493</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405,466</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1,126,959</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10,175</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721,493</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415,641</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1,137,134</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investment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84,482</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Exchange stock</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3,002</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87,484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Receivables from broker dealers and clearing organizations: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 rate swap</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34,927</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34,927</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1,682,042</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1,636,883</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3,318,925</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574,472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597,236</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1,160,940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1,160,940</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7,010</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344,241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(344,241)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20,888</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2,277,465</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3,171,775</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(344,241)</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5,104,999</w:t>
            </w: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Fair value measurements for those items measured on a recurring basis are summarized below as of December 31, 2021:</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80" w:type="dxa"/>
            <w:vAlign w:val="bottom"/>
          </w:tcPr>
          <w:p>
            <w:pPr>
              <w:spacing w:after="0"/>
              <w:rPr>
                <w:sz w:val="10"/>
                <w:szCs w:val="10"/>
                <w:color w:val="auto"/>
              </w:rPr>
            </w:pPr>
          </w:p>
        </w:tc>
        <w:tc>
          <w:tcPr>
            <w:tcW w:w="12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0"/>
                <w:szCs w:val="10"/>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and</w:t>
            </w: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2"/>
                <w:szCs w:val="12"/>
                <w:color w:val="auto"/>
              </w:rPr>
            </w:pPr>
          </w:p>
        </w:tc>
        <w:tc>
          <w:tcPr>
            <w:tcW w:w="1220" w:type="dxa"/>
            <w:vAlign w:val="bottom"/>
          </w:tcPr>
          <w:p>
            <w:pPr>
              <w:jc w:val="right"/>
              <w:ind w:right="3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00" w:type="dxa"/>
            <w:vAlign w:val="bottom"/>
          </w:tcPr>
          <w:p>
            <w:pPr>
              <w:spacing w:after="0"/>
              <w:rPr>
                <w:sz w:val="12"/>
                <w:szCs w:val="12"/>
                <w:color w:val="auto"/>
              </w:rPr>
            </w:pPr>
          </w:p>
        </w:tc>
        <w:tc>
          <w:tcPr>
            <w:tcW w:w="14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2"/>
                <w:szCs w:val="12"/>
                <w:color w:val="auto"/>
              </w:rPr>
            </w:pPr>
          </w:p>
        </w:tc>
        <w:tc>
          <w:tcPr>
            <w:tcW w:w="132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1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0"/>
        </w:trPr>
        <w:tc>
          <w:tcPr>
            <w:tcW w:w="44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572,567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1,700,470</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2,273,037</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337,350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355,869</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598,944</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206,258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(206,125)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8,543</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918,470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2,526,650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(206,125)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3,238,995</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Financial instruments owned, pledged as collateral:</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670,277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342,292</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1,012,569</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5,391</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670,277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1,017,960</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investment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81,358</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Exchange stock</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84,378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1,482,386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807,631</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2,290,017</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330,765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340,720</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851,871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851,871</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22,962</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208,357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(208,356)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1,818,359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1,900,776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(208,356)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3,510,779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Payables to broker dealers and clearing organizations: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 rate swap</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JNX Investment</w:t>
      </w:r>
    </w:p>
    <w:p>
      <w:pPr>
        <w:spacing w:after="0" w:line="252" w:lineRule="exact"/>
        <w:rPr>
          <w:sz w:val="20"/>
          <w:szCs w:val="20"/>
          <w:color w:val="auto"/>
        </w:rPr>
      </w:pPr>
    </w:p>
    <w:p>
      <w:pPr>
        <w:ind w:right="80" w:firstLine="629"/>
        <w:spacing w:after="0" w:line="263" w:lineRule="auto"/>
        <w:rPr>
          <w:sz w:val="20"/>
          <w:szCs w:val="20"/>
          <w:color w:val="auto"/>
        </w:rPr>
      </w:pPr>
      <w:r>
        <w:rPr>
          <w:rFonts w:ascii="Times New Roman" w:cs="Times New Roman" w:eastAsia="Times New Roman" w:hAnsi="Times New Roman"/>
          <w:sz w:val="17"/>
          <w:szCs w:val="17"/>
          <w:color w:val="auto"/>
        </w:rPr>
        <w:t>The Company has a minority investment (the “JNX Investment”) in Japannext Co., Ltd. (“JNX”), formerly known as SBI Japannext Co., Ltd., a proprietary trading system based in Tokyo. In connection with the JNX Investment, the Company issued the SBI Bonds (as described in Note 8 "Borrowings") and used the proceeds to partially finance the transaction. The JNX Investment is included within Level 3 of the fair value hierarchy. As of March 31, 2021 and 2022, the fair value of the JNX Investment was determined using a weighted average of valuations using 1) the discounted cash flow method, an income approach; 2) a market approach based on average enterprise value/EBITDA ratios of comparable companies; and to a lesser extent 3) a transaction approach based on transaction values of comparable companies. The fair value measurement is highly sensitive to significant changes in the unobservable inputs, and significant increases (decreases) in discount rate or decreases (increases) in enterprise value/EBITDA multiples would result in a significantly lower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table below presents information on the valuation techniques, significant unobservable inputs and their ranges for the JNX Investment:</w:t>
      </w:r>
    </w:p>
    <w:p>
      <w:pPr>
        <w:spacing w:after="0" w:line="283" w:lineRule="exact"/>
        <w:rPr>
          <w:sz w:val="20"/>
          <w:szCs w:val="20"/>
          <w:color w:val="auto"/>
        </w:rPr>
      </w:pPr>
    </w:p>
    <w:tbl>
      <w:tblPr>
        <w:tblLayout w:type="fixed"/>
        <w:tblInd w:w="68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9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94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13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0"/>
        </w:trPr>
        <w:tc>
          <w:tcPr>
            <w:tcW w:w="25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32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investment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84,482</w:t>
            </w: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Discounted cash flow</w:t>
            </w:r>
          </w:p>
        </w:tc>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Estimated revenue growth</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2.5% - 36.6%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Discount rate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14.4% - 14.4%</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0" w:type="dxa"/>
            <w:vAlign w:val="bottom"/>
          </w:tcPr>
          <w:p>
            <w:pPr>
              <w:spacing w:after="0"/>
              <w:rPr>
                <w:sz w:val="1"/>
                <w:szCs w:val="1"/>
                <w:color w:val="auto"/>
              </w:rPr>
            </w:pPr>
          </w:p>
        </w:tc>
      </w:tr>
      <w:tr>
        <w:trPr>
          <w:trHeight w:val="142"/>
        </w:trPr>
        <w:tc>
          <w:tcPr>
            <w:tcW w:w="2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Market</w:t>
            </w:r>
          </w:p>
        </w:tc>
        <w:tc>
          <w:tcPr>
            <w:tcW w:w="1940" w:type="dxa"/>
            <w:vAlign w:val="bottom"/>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Future enterprise value/</w:t>
            </w: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7.7x - 22.0x</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15.8x</w:t>
            </w:r>
          </w:p>
        </w:tc>
        <w:tc>
          <w:tcPr>
            <w:tcW w:w="0" w:type="dxa"/>
            <w:vAlign w:val="bottom"/>
          </w:tcPr>
          <w:p>
            <w:pPr>
              <w:spacing w:after="0"/>
              <w:rPr>
                <w:sz w:val="1"/>
                <w:szCs w:val="1"/>
                <w:color w:val="auto"/>
              </w:rPr>
            </w:pPr>
          </w:p>
        </w:tc>
      </w:tr>
      <w:tr>
        <w:trPr>
          <w:trHeight w:val="193"/>
        </w:trPr>
        <w:tc>
          <w:tcPr>
            <w:tcW w:w="2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60" w:type="dxa"/>
            <w:vAlign w:val="bottom"/>
            <w:vMerge w:val="continue"/>
            <w:shd w:val="clear" w:color="auto" w:fill="CCEEFF"/>
          </w:tcPr>
          <w:p>
            <w:pPr>
              <w:spacing w:after="0"/>
              <w:rPr>
                <w:sz w:val="16"/>
                <w:szCs w:val="16"/>
                <w:color w:val="auto"/>
              </w:rPr>
            </w:pPr>
          </w:p>
        </w:tc>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EBIDTA ratio</w:t>
            </w:r>
          </w:p>
        </w:tc>
        <w:tc>
          <w:tcPr>
            <w:tcW w:w="1320" w:type="dxa"/>
            <w:vAlign w:val="bottom"/>
            <w:vMerge w:val="continue"/>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9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920" w:type="dxa"/>
            <w:vAlign w:val="bottom"/>
          </w:tcPr>
          <w:p>
            <w:pPr>
              <w:ind w:left="200"/>
              <w:spacing w:after="0" w:line="124" w:lineRule="exact"/>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13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0"/>
        </w:trPr>
        <w:tc>
          <w:tcPr>
            <w:tcW w:w="24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9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30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investment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81,358</w:t>
            </w:r>
          </w:p>
        </w:tc>
        <w:tc>
          <w:tcPr>
            <w:tcW w:w="1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Discounted cash flow</w:t>
            </w:r>
          </w:p>
        </w:tc>
        <w:tc>
          <w:tcPr>
            <w:tcW w:w="1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Estimated revenue growth</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2.5% - 32.6%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Discount rate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14.4% - 14.4%</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0" w:type="dxa"/>
            <w:vAlign w:val="bottom"/>
          </w:tcPr>
          <w:p>
            <w:pPr>
              <w:spacing w:after="0"/>
              <w:rPr>
                <w:sz w:val="1"/>
                <w:szCs w:val="1"/>
                <w:color w:val="auto"/>
              </w:rPr>
            </w:pPr>
          </w:p>
        </w:tc>
      </w:tr>
      <w:tr>
        <w:trPr>
          <w:trHeight w:val="138"/>
        </w:trPr>
        <w:tc>
          <w:tcPr>
            <w:tcW w:w="2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Market</w:t>
            </w:r>
          </w:p>
        </w:tc>
        <w:tc>
          <w:tcPr>
            <w:tcW w:w="1920" w:type="dxa"/>
            <w:vAlign w:val="bottom"/>
            <w:shd w:val="clear" w:color="auto" w:fill="CCEEFF"/>
          </w:tcPr>
          <w:p>
            <w:pPr>
              <w:ind w:left="160"/>
              <w:spacing w:after="0" w:line="138" w:lineRule="exact"/>
              <w:rPr>
                <w:sz w:val="20"/>
                <w:szCs w:val="20"/>
                <w:color w:val="auto"/>
              </w:rPr>
            </w:pPr>
            <w:r>
              <w:rPr>
                <w:rFonts w:ascii="Times New Roman" w:cs="Times New Roman" w:eastAsia="Times New Roman" w:hAnsi="Times New Roman"/>
                <w:sz w:val="14"/>
                <w:szCs w:val="14"/>
                <w:color w:val="auto"/>
              </w:rPr>
              <w:t>Future enterprise value/</w:t>
            </w: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8.7x - 21.1x</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14.0x</w:t>
            </w:r>
          </w:p>
        </w:tc>
        <w:tc>
          <w:tcPr>
            <w:tcW w:w="0" w:type="dxa"/>
            <w:vAlign w:val="bottom"/>
          </w:tcPr>
          <w:p>
            <w:pPr>
              <w:spacing w:after="0"/>
              <w:rPr>
                <w:sz w:val="1"/>
                <w:szCs w:val="1"/>
                <w:color w:val="auto"/>
              </w:rPr>
            </w:pPr>
          </w:p>
        </w:tc>
      </w:tr>
      <w:tr>
        <w:trPr>
          <w:trHeight w:val="196"/>
        </w:trPr>
        <w:tc>
          <w:tcPr>
            <w:tcW w:w="2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40" w:type="dxa"/>
            <w:vAlign w:val="bottom"/>
            <w:vMerge w:val="continue"/>
            <w:shd w:val="clear" w:color="auto" w:fill="CCEEFF"/>
          </w:tcPr>
          <w:p>
            <w:pPr>
              <w:spacing w:after="0"/>
              <w:rPr>
                <w:sz w:val="17"/>
                <w:szCs w:val="17"/>
                <w:color w:val="auto"/>
              </w:rPr>
            </w:pPr>
          </w:p>
        </w:tc>
        <w:tc>
          <w:tcPr>
            <w:tcW w:w="1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EBIDTA ratio</w:t>
            </w:r>
          </w:p>
        </w:tc>
        <w:tc>
          <w:tcPr>
            <w:tcW w:w="1300" w:type="dxa"/>
            <w:vAlign w:val="bottom"/>
            <w:vMerge w:val="continue"/>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Changes in the fair value of the JNX Investment are included within Other, net in the Condensed Consolidated Statements of Comprehensive Income.</w:t>
      </w: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presents the changes in the Company's Level 3 financial instruments measured at fair value on a recurring basis: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80" w:type="dxa"/>
            <w:vAlign w:val="bottom"/>
            <w:gridSpan w:val="6"/>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 2022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center"/>
              <w:ind w:right="10"/>
              <w:spacing w:after="0" w:line="124" w:lineRule="exact"/>
              <w:rPr>
                <w:sz w:val="20"/>
                <w:szCs w:val="20"/>
                <w:color w:val="auto"/>
              </w:rPr>
            </w:pPr>
            <w:r>
              <w:rPr>
                <w:rFonts w:ascii="Times New Roman" w:cs="Times New Roman" w:eastAsia="Times New Roman" w:hAnsi="Times New Roman"/>
                <w:sz w:val="14"/>
                <w:szCs w:val="14"/>
                <w:b w:val="1"/>
                <w:bCs w:val="1"/>
                <w:color w:val="auto"/>
              </w:rPr>
              <w:t>Change in Net</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Unrealized Gains /</w:t>
            </w: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Realized and</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w w:val="99"/>
              </w:rPr>
              <w:t>(Losses) on</w:t>
            </w: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Transfers into</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Balance at March</w:t>
            </w:r>
          </w:p>
        </w:tc>
        <w:tc>
          <w:tcPr>
            <w:tcW w:w="80" w:type="dxa"/>
            <w:vAlign w:val="bottom"/>
          </w:tcPr>
          <w:p>
            <w:pPr>
              <w:spacing w:after="0"/>
              <w:rPr>
                <w:sz w:val="12"/>
                <w:szCs w:val="12"/>
                <w:color w:val="auto"/>
              </w:rPr>
            </w:pPr>
          </w:p>
        </w:tc>
        <w:tc>
          <w:tcPr>
            <w:tcW w:w="1100" w:type="dxa"/>
            <w:vAlign w:val="bottom"/>
          </w:tcPr>
          <w:p>
            <w:pPr>
              <w:jc w:val="center"/>
              <w:ind w:right="10"/>
              <w:spacing w:after="0" w:line="143" w:lineRule="exact"/>
              <w:rPr>
                <w:sz w:val="20"/>
                <w:szCs w:val="20"/>
                <w:color w:val="auto"/>
              </w:rPr>
            </w:pPr>
            <w:r>
              <w:rPr>
                <w:rFonts w:ascii="Times New Roman" w:cs="Times New Roman" w:eastAsia="Times New Roman" w:hAnsi="Times New Roman"/>
                <w:sz w:val="14"/>
                <w:szCs w:val="14"/>
                <w:b w:val="1"/>
                <w:bCs w:val="1"/>
                <w:color w:val="auto"/>
              </w:rPr>
              <w:t>Investments still</w:t>
            </w:r>
          </w:p>
        </w:tc>
        <w:tc>
          <w:tcPr>
            <w:tcW w:w="0" w:type="dxa"/>
            <w:vAlign w:val="bottom"/>
          </w:tcPr>
          <w:p>
            <w:pPr>
              <w:spacing w:after="0"/>
              <w:rPr>
                <w:sz w:val="1"/>
                <w:szCs w:val="1"/>
                <w:color w:val="auto"/>
              </w:rPr>
            </w:pPr>
          </w:p>
        </w:tc>
      </w:tr>
      <w:tr>
        <w:trPr>
          <w:trHeight w:val="144"/>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30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1300" w:type="dxa"/>
            <w:vAlign w:val="bottom"/>
            <w:gridSpan w:val="3"/>
            <w:vMerge w:val="continue"/>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1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held at March 31,</w:t>
            </w:r>
          </w:p>
        </w:tc>
        <w:tc>
          <w:tcPr>
            <w:tcW w:w="0" w:type="dxa"/>
            <w:vAlign w:val="bottom"/>
          </w:tcPr>
          <w:p>
            <w:pPr>
              <w:spacing w:after="0"/>
              <w:rPr>
                <w:sz w:val="1"/>
                <w:szCs w:val="1"/>
                <w:color w:val="auto"/>
              </w:rPr>
            </w:pPr>
          </w:p>
        </w:tc>
      </w:tr>
      <w:tr>
        <w:trPr>
          <w:trHeight w:val="190"/>
        </w:trPr>
        <w:tc>
          <w:tcPr>
            <w:tcW w:w="2300" w:type="dxa"/>
            <w:vAlign w:val="bottom"/>
            <w:gridSpan w:val="2"/>
            <w:vMerge w:val="continue"/>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(Losses) (1)</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(out of) Level 3</w:t>
            </w: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190"/>
        </w:trPr>
        <w:tc>
          <w:tcPr>
            <w:tcW w:w="2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81,358</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84,482</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w:t>
            </w:r>
          </w:p>
        </w:tc>
        <w:tc>
          <w:tcPr>
            <w:tcW w:w="0" w:type="dxa"/>
            <w:vAlign w:val="bottom"/>
          </w:tcPr>
          <w:p>
            <w:pPr>
              <w:spacing w:after="0"/>
              <w:rPr>
                <w:sz w:val="1"/>
                <w:szCs w:val="1"/>
                <w:color w:val="auto"/>
              </w:rPr>
            </w:pPr>
          </w:p>
        </w:tc>
      </w:tr>
      <w:tr>
        <w:trPr>
          <w:trHeight w:val="203"/>
        </w:trPr>
        <w:tc>
          <w:tcPr>
            <w:tcW w:w="2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84,482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3,124</w:t>
            </w:r>
          </w:p>
        </w:tc>
        <w:tc>
          <w:tcPr>
            <w:tcW w:w="0" w:type="dxa"/>
            <w:vAlign w:val="bottom"/>
          </w:tcPr>
          <w:p>
            <w:pPr>
              <w:spacing w:after="0"/>
              <w:rPr>
                <w:sz w:val="1"/>
                <w:szCs w:val="1"/>
                <w:color w:val="auto"/>
              </w:rPr>
            </w:pPr>
          </w:p>
        </w:tc>
      </w:tr>
    </w:tbl>
    <w:p>
      <w:pPr>
        <w:ind w:left="20" w:right="60" w:firstLine="2"/>
        <w:spacing w:after="0" w:line="226" w:lineRule="auto"/>
        <w:tabs>
          <w:tab w:leader="none" w:pos="21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realized and unrealized gains/(losses) includes gains and losses realized on the SBI Bonds (see Note 8 "Borrowings" for more details)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-183515</wp:posOffset>
            </wp:positionV>
            <wp:extent cx="56807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80710" cy="8255"/>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80" w:type="dxa"/>
            <w:vAlign w:val="bottom"/>
            <w:gridSpan w:val="6"/>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 2021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center"/>
              <w:ind w:right="10"/>
              <w:spacing w:after="0" w:line="126" w:lineRule="exact"/>
              <w:rPr>
                <w:sz w:val="20"/>
                <w:szCs w:val="20"/>
                <w:color w:val="auto"/>
              </w:rPr>
            </w:pPr>
            <w:r>
              <w:rPr>
                <w:rFonts w:ascii="Times New Roman" w:cs="Times New Roman" w:eastAsia="Times New Roman" w:hAnsi="Times New Roman"/>
                <w:sz w:val="14"/>
                <w:szCs w:val="14"/>
                <w:b w:val="1"/>
                <w:bCs w:val="1"/>
                <w:color w:val="auto"/>
              </w:rPr>
              <w:t>Change in Net</w:t>
            </w: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Unrealized Gains /</w:t>
            </w: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Realized and</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3" w:lineRule="exact"/>
              <w:rPr>
                <w:sz w:val="20"/>
                <w:szCs w:val="20"/>
                <w:color w:val="auto"/>
              </w:rPr>
            </w:pPr>
            <w:r>
              <w:rPr>
                <w:rFonts w:ascii="Times New Roman" w:cs="Times New Roman" w:eastAsia="Times New Roman" w:hAnsi="Times New Roman"/>
                <w:sz w:val="14"/>
                <w:szCs w:val="14"/>
                <w:b w:val="1"/>
                <w:bCs w:val="1"/>
                <w:color w:val="auto"/>
                <w:w w:val="99"/>
              </w:rPr>
              <w:t>(Losses) on</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3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Transfers into</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Balance at March</w:t>
            </w:r>
          </w:p>
        </w:tc>
        <w:tc>
          <w:tcPr>
            <w:tcW w:w="80" w:type="dxa"/>
            <w:vAlign w:val="bottom"/>
          </w:tcPr>
          <w:p>
            <w:pPr>
              <w:spacing w:after="0"/>
              <w:rPr>
                <w:sz w:val="11"/>
                <w:szCs w:val="11"/>
                <w:color w:val="auto"/>
              </w:rPr>
            </w:pPr>
          </w:p>
        </w:tc>
        <w:tc>
          <w:tcPr>
            <w:tcW w:w="1100" w:type="dxa"/>
            <w:vAlign w:val="bottom"/>
          </w:tcPr>
          <w:p>
            <w:pPr>
              <w:jc w:val="center"/>
              <w:ind w:right="10"/>
              <w:spacing w:after="0" w:line="133" w:lineRule="exact"/>
              <w:rPr>
                <w:sz w:val="20"/>
                <w:szCs w:val="20"/>
                <w:color w:val="auto"/>
              </w:rPr>
            </w:pPr>
            <w:r>
              <w:rPr>
                <w:rFonts w:ascii="Times New Roman" w:cs="Times New Roman" w:eastAsia="Times New Roman" w:hAnsi="Times New Roman"/>
                <w:sz w:val="14"/>
                <w:szCs w:val="14"/>
                <w:b w:val="1"/>
                <w:bCs w:val="1"/>
                <w:color w:val="auto"/>
              </w:rPr>
              <w:t>Investments still</w:t>
            </w:r>
          </w:p>
        </w:tc>
        <w:tc>
          <w:tcPr>
            <w:tcW w:w="0" w:type="dxa"/>
            <w:vAlign w:val="bottom"/>
          </w:tcPr>
          <w:p>
            <w:pPr>
              <w:spacing w:after="0"/>
              <w:rPr>
                <w:sz w:val="1"/>
                <w:szCs w:val="1"/>
                <w:color w:val="auto"/>
              </w:rPr>
            </w:pPr>
          </w:p>
        </w:tc>
      </w:tr>
      <w:tr>
        <w:trPr>
          <w:trHeight w:val="144"/>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30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1300" w:type="dxa"/>
            <w:vAlign w:val="bottom"/>
            <w:gridSpan w:val="3"/>
            <w:vMerge w:val="continue"/>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1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held at March 31,</w:t>
            </w:r>
          </w:p>
        </w:tc>
        <w:tc>
          <w:tcPr>
            <w:tcW w:w="0" w:type="dxa"/>
            <w:vAlign w:val="bottom"/>
          </w:tcPr>
          <w:p>
            <w:pPr>
              <w:spacing w:after="0"/>
              <w:rPr>
                <w:sz w:val="1"/>
                <w:szCs w:val="1"/>
                <w:color w:val="auto"/>
              </w:rPr>
            </w:pPr>
          </w:p>
        </w:tc>
      </w:tr>
      <w:tr>
        <w:trPr>
          <w:trHeight w:val="190"/>
        </w:trPr>
        <w:tc>
          <w:tcPr>
            <w:tcW w:w="2300" w:type="dxa"/>
            <w:vAlign w:val="bottom"/>
            <w:gridSpan w:val="2"/>
            <w:vMerge w:val="continue"/>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(Losses) (1)</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(out of) Level 3</w:t>
            </w: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5"/>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66,192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92"/>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66,030</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66,192</w:t>
            </w:r>
          </w:p>
        </w:tc>
        <w:tc>
          <w:tcPr>
            <w:tcW w:w="1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-1270</wp:posOffset>
            </wp:positionV>
            <wp:extent cx="56807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80710" cy="8255"/>
                    </a:xfrm>
                    <a:prstGeom prst="rect">
                      <a:avLst/>
                    </a:prstGeom>
                    <a:noFill/>
                  </pic:spPr>
                </pic:pic>
              </a:graphicData>
            </a:graphic>
          </wp:anchor>
        </w:drawing>
      </w:r>
    </w:p>
    <w:p>
      <w:pPr>
        <w:ind w:left="20" w:right="60" w:firstLine="2"/>
        <w:spacing w:after="0" w:line="246" w:lineRule="auto"/>
        <w:tabs>
          <w:tab w:leader="none" w:pos="21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realized and unrealized gains/(losses) includes gains and losses realized on the SBI Bonds (see Note 8 "Borrowings" for more details)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-194310</wp:posOffset>
            </wp:positionV>
            <wp:extent cx="56807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80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Instruments Not Measured at Fair Value</w:t>
      </w:r>
    </w:p>
    <w:p>
      <w:pPr>
        <w:spacing w:after="0" w:line="252"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table below presents the carrying value, fair value and fair value hierarchy category of certain financial instruments that are not measured at fair value on the Condensed Consolidated Statements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table below summarizes financial assets and liabilities not carried at fair value on a recurring basis as of March 31, 2022:</w:t>
      </w:r>
    </w:p>
    <w:p>
      <w:pPr>
        <w:spacing w:after="0" w:line="47"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March 31, 2022</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3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140" w:type="dxa"/>
            <w:vAlign w:val="bottom"/>
          </w:tcPr>
          <w:p>
            <w:pPr>
              <w:spacing w:after="0"/>
              <w:rPr>
                <w:sz w:val="23"/>
                <w:szCs w:val="23"/>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3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70"/>
              <w:spacing w:after="0" w:line="143"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40" w:type="dxa"/>
            <w:vAlign w:val="bottom"/>
          </w:tcPr>
          <w:p>
            <w:pPr>
              <w:spacing w:after="0"/>
              <w:rPr>
                <w:sz w:val="16"/>
                <w:szCs w:val="16"/>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6"/>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8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564,900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564,900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564,900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Cash restricted or segregated under regulations and other</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47,788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47,788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Securities borrowed</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1,700,224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1,700,224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1,700,224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160,152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 (2)</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1,501,948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1,501,948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1,516,322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Receivables from customers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330,378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330,378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330,378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assets (1)</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23,025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4,328,415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4,328,415</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598,314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3,730,101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142,000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Long-term borrowings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1,794,200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1,800,643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1,800,643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Securities loaned</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1,268,377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1,268,377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1,268,377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549,707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549,707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549,707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Payables to broker-dealers and clearing organizations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934,722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934,722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935,624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Payables to customers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161,565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liabilities (3)</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14,717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4,864,070</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4,871,731</w:t>
            </w:r>
          </w:p>
        </w:tc>
        <w:tc>
          <w:tcPr>
            <w:tcW w:w="10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4,872,633</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2964180</wp:posOffset>
            </wp:positionH>
            <wp:positionV relativeFrom="paragraph">
              <wp:posOffset>-1270</wp:posOffset>
            </wp:positionV>
            <wp:extent cx="41421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42105" cy="8255"/>
                    </a:xfrm>
                    <a:prstGeom prst="rect">
                      <a:avLst/>
                    </a:prstGeom>
                    <a:noFill/>
                  </pic:spPr>
                </pic:pic>
              </a:graphicData>
            </a:graphic>
          </wp:anchor>
        </w:drawing>
      </w:r>
    </w:p>
    <w:p>
      <w:pPr>
        <w:ind w:left="280" w:hanging="199"/>
        <w:spacing w:after="0"/>
        <w:tabs>
          <w:tab w:leader="none" w:pos="2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collateral and deposits, and interest and dividends receivables.</w:t>
      </w:r>
    </w:p>
    <w:p>
      <w:pPr>
        <w:spacing w:after="0" w:line="35" w:lineRule="exact"/>
        <w:rPr>
          <w:rFonts w:ascii="Times New Roman" w:cs="Times New Roman" w:eastAsia="Times New Roman" w:hAnsi="Times New Roman"/>
          <w:sz w:val="14"/>
          <w:szCs w:val="14"/>
          <w:color w:val="auto"/>
        </w:rPr>
      </w:pPr>
    </w:p>
    <w:p>
      <w:pPr>
        <w:ind w:left="280" w:hanging="199"/>
        <w:spacing w:after="0"/>
        <w:tabs>
          <w:tab w:leader="none" w:pos="2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Receivables from broker-dealers and clearing organizations include interest rate swaps carried at fair value.</w:t>
      </w:r>
    </w:p>
    <w:p>
      <w:pPr>
        <w:spacing w:after="0" w:line="35" w:lineRule="exact"/>
        <w:rPr>
          <w:rFonts w:ascii="Times New Roman" w:cs="Times New Roman" w:eastAsia="Times New Roman" w:hAnsi="Times New Roman"/>
          <w:sz w:val="14"/>
          <w:szCs w:val="14"/>
          <w:color w:val="auto"/>
        </w:rPr>
      </w:pPr>
    </w:p>
    <w:p>
      <w:pPr>
        <w:ind w:left="280" w:hanging="199"/>
        <w:spacing w:after="0"/>
        <w:tabs>
          <w:tab w:leader="none" w:pos="2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-95885</wp:posOffset>
            </wp:positionV>
            <wp:extent cx="7061835" cy="124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61835" cy="12446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-345440</wp:posOffset>
            </wp:positionV>
            <wp:extent cx="7061835" cy="1244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61835" cy="12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table below summarizes financial assets and liabilities not carried at fair value on a recurring basis as of December 31, 2021: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140" w:type="dxa"/>
            <w:vAlign w:val="bottom"/>
          </w:tcPr>
          <w:p>
            <w:pPr>
              <w:spacing w:after="0"/>
              <w:rPr>
                <w:sz w:val="23"/>
                <w:szCs w:val="23"/>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70"/>
              <w:spacing w:after="0" w:line="143"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86"/>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40" w:type="dxa"/>
            <w:vAlign w:val="bottom"/>
          </w:tcPr>
          <w:p>
            <w:pPr>
              <w:spacing w:after="0"/>
              <w:rPr>
                <w:sz w:val="16"/>
                <w:szCs w:val="16"/>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6"/>
        </w:trPr>
        <w:tc>
          <w:tcPr>
            <w:tcW w:w="4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1,071,463</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1,071,463</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1,071,463</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restricted or segregated under regulations and other</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49,490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49,490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Securities borrowed</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1,349,322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1,349,322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1,349,322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1,026,807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1,026,807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1,050,844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Receivables from customers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146,476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assets (1)</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3,783,277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3,783,277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1,096,916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2,686,361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63,046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borrowings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1,605,132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1,628,497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1,628,497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Securities loaned</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Payables to broker dealer and clearing organizations (2)</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571,526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571,526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571,291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Payables to customers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54,999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liabilities (3)</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3,958,954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3,983,855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3,983,620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ind w:left="220" w:hanging="198"/>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collateral and deposits, and interest and dividends receivables.</w:t>
      </w:r>
    </w:p>
    <w:p>
      <w:pPr>
        <w:spacing w:after="0" w:line="26" w:lineRule="exact"/>
        <w:rPr>
          <w:rFonts w:ascii="Times New Roman" w:cs="Times New Roman" w:eastAsia="Times New Roman" w:hAnsi="Times New Roman"/>
          <w:sz w:val="14"/>
          <w:szCs w:val="14"/>
          <w:color w:val="auto"/>
        </w:rPr>
      </w:pPr>
    </w:p>
    <w:p>
      <w:pPr>
        <w:ind w:left="220" w:hanging="198"/>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Payables to broker-dealers and clearing organizations include interest rate swaps carried at fair value.</w:t>
      </w:r>
    </w:p>
    <w:p>
      <w:pPr>
        <w:spacing w:after="0" w:line="35" w:lineRule="exact"/>
        <w:rPr>
          <w:rFonts w:ascii="Times New Roman" w:cs="Times New Roman" w:eastAsia="Times New Roman" w:hAnsi="Times New Roman"/>
          <w:sz w:val="14"/>
          <w:szCs w:val="14"/>
          <w:color w:val="auto"/>
        </w:rPr>
      </w:pPr>
    </w:p>
    <w:p>
      <w:pPr>
        <w:ind w:left="220" w:hanging="198"/>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136130" cy="1244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-336550</wp:posOffset>
            </wp:positionV>
            <wp:extent cx="41503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50360"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Offsetting of Financial Assets and Liabilities</w:t>
      </w:r>
    </w:p>
    <w:p>
      <w:pPr>
        <w:spacing w:after="0" w:line="252" w:lineRule="exact"/>
        <w:rPr>
          <w:sz w:val="20"/>
          <w:szCs w:val="20"/>
          <w:color w:val="auto"/>
        </w:rPr>
      </w:pPr>
    </w:p>
    <w:p>
      <w:pPr>
        <w:ind w:right="180" w:firstLine="629"/>
        <w:spacing w:after="0" w:line="267" w:lineRule="auto"/>
        <w:rPr>
          <w:sz w:val="20"/>
          <w:szCs w:val="20"/>
          <w:color w:val="auto"/>
        </w:rPr>
      </w:pPr>
      <w:r>
        <w:rPr>
          <w:rFonts w:ascii="Times New Roman" w:cs="Times New Roman" w:eastAsia="Times New Roman" w:hAnsi="Times New Roman"/>
          <w:sz w:val="17"/>
          <w:szCs w:val="17"/>
          <w:color w:val="auto"/>
        </w:rPr>
        <w:t>The Company does not net securities borrowed and securities loaned, or securities purchased under agreements to resell and securities sold under agreements to repurchase. These financial instruments are presented on a gross basis in the Condensed Consolidated Statements of Financial Condition. In the tables below, the amounts of financial instruments owned that are not offset in the Condensed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tables set forth the gross and net presentation of certain financial assets and financial liabilities as of March 31, 2022 and December 31,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2021:</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Offsetting of Financial Assets:</w:t>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Securities borrowed</w:t>
      </w:r>
    </w:p>
    <w:p>
      <w:pPr>
        <w:spacing w:after="0" w:line="35" w:lineRule="exact"/>
        <w:rPr>
          <w:sz w:val="20"/>
          <w:szCs w:val="20"/>
          <w:color w:val="auto"/>
        </w:rPr>
      </w:pPr>
    </w:p>
    <w:p>
      <w:pPr>
        <w:ind w:left="160"/>
        <w:spacing w:after="0" w:line="244" w:lineRule="auto"/>
        <w:rPr>
          <w:sz w:val="20"/>
          <w:szCs w:val="20"/>
          <w:color w:val="auto"/>
        </w:rPr>
      </w:pPr>
      <w:r>
        <w:rPr>
          <w:rFonts w:ascii="Times New Roman" w:cs="Times New Roman" w:eastAsia="Times New Roman" w:hAnsi="Times New Roman"/>
          <w:sz w:val="14"/>
          <w:szCs w:val="14"/>
          <w:color w:val="auto"/>
        </w:rPr>
        <w:t>Securities purchased under agreements to resell</w:t>
      </w:r>
    </w:p>
    <w:p>
      <w:pPr>
        <w:ind w:left="240" w:right="740" w:hanging="78"/>
        <w:spacing w:after="0" w:line="308" w:lineRule="auto"/>
        <w:rPr>
          <w:sz w:val="20"/>
          <w:szCs w:val="20"/>
          <w:color w:val="auto"/>
        </w:rPr>
      </w:pPr>
      <w:r>
        <w:rPr>
          <w:rFonts w:ascii="Times New Roman" w:cs="Times New Roman" w:eastAsia="Times New Roman" w:hAnsi="Times New Roman"/>
          <w:sz w:val="14"/>
          <w:szCs w:val="14"/>
          <w:color w:val="auto"/>
        </w:rPr>
        <w:t>Trading assets, at fair value: Currency forwards Options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29845</wp:posOffset>
            </wp:positionV>
            <wp:extent cx="53816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81625" cy="825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Amounts Not Offset in the Condensed</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Amounts of Assets</w:t>
            </w:r>
          </w:p>
        </w:tc>
        <w:tc>
          <w:tcPr>
            <w:tcW w:w="140" w:type="dxa"/>
            <w:vAlign w:val="bottom"/>
          </w:tcPr>
          <w:p>
            <w:pPr>
              <w:spacing w:after="0"/>
              <w:rPr>
                <w:sz w:val="12"/>
                <w:szCs w:val="12"/>
                <w:color w:val="auto"/>
              </w:rPr>
            </w:pPr>
          </w:p>
        </w:tc>
        <w:tc>
          <w:tcPr>
            <w:tcW w:w="2620" w:type="dxa"/>
            <w:vAlign w:val="bottom"/>
            <w:gridSpan w:val="5"/>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Consolidated Statements of Financial</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Amounts Offset in the</w:t>
            </w:r>
          </w:p>
        </w:tc>
        <w:tc>
          <w:tcPr>
            <w:tcW w:w="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gridSpan w:val="5"/>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Condition</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2"/>
          </w:tcPr>
          <w:p>
            <w:pPr>
              <w:jc w:val="center"/>
              <w:ind w:right="180"/>
              <w:spacing w:after="0" w:line="66" w:lineRule="exact"/>
              <w:rPr>
                <w:sz w:val="20"/>
                <w:szCs w:val="20"/>
                <w:color w:val="auto"/>
              </w:rPr>
            </w:pPr>
            <w:r>
              <w:rPr>
                <w:rFonts w:ascii="Times New Roman" w:cs="Times New Roman" w:eastAsia="Times New Roman" w:hAnsi="Times New Roman"/>
                <w:sz w:val="7"/>
                <w:szCs w:val="7"/>
                <w:b w:val="1"/>
                <w:bCs w:val="1"/>
                <w:color w:val="auto"/>
              </w:rPr>
              <w:t>Presented in the</w:t>
            </w:r>
          </w:p>
        </w:tc>
        <w:tc>
          <w:tcPr>
            <w:tcW w:w="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64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8"/>
              </w:rPr>
              <w:t>Condensed Consolidated</w:t>
            </w:r>
          </w:p>
        </w:tc>
        <w:tc>
          <w:tcPr>
            <w:tcW w:w="162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Condensed Consolidated</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Counterparty</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Statement of Financial</w:t>
            </w:r>
          </w:p>
        </w:tc>
        <w:tc>
          <w:tcPr>
            <w:tcW w:w="162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Statements of Financial</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Instrument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Netting/ Cash</w:t>
            </w:r>
          </w:p>
        </w:tc>
        <w:tc>
          <w:tcPr>
            <w:tcW w:w="140" w:type="dxa"/>
            <w:vAlign w:val="bottom"/>
          </w:tcPr>
          <w:p>
            <w:pPr>
              <w:spacing w:after="0"/>
              <w:rPr>
                <w:sz w:val="12"/>
                <w:szCs w:val="12"/>
                <w:color w:val="auto"/>
              </w:rPr>
            </w:pPr>
          </w:p>
        </w:tc>
        <w:tc>
          <w:tcPr>
            <w:tcW w:w="9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1"/>
        </w:trPr>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Recognized Assets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6"/>
              </w:rPr>
              <w:t>Condition</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6"/>
              </w:rPr>
              <w:t>Collateral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1,700,224</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1,700,224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(1,630,036)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49,569</w:t>
            </w:r>
          </w:p>
        </w:tc>
        <w:tc>
          <w:tcPr>
            <w:tcW w:w="0" w:type="dxa"/>
            <w:vAlign w:val="bottom"/>
          </w:tcPr>
          <w:p>
            <w:pPr>
              <w:spacing w:after="0"/>
              <w:rPr>
                <w:sz w:val="1"/>
                <w:szCs w:val="1"/>
                <w:color w:val="auto"/>
              </w:rPr>
            </w:pPr>
          </w:p>
        </w:tc>
      </w:tr>
      <w:tr>
        <w:trPr>
          <w:trHeight w:val="327"/>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160,152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160,152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(160,152)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3"/>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382,092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(363,676)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18,416</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2,261,823</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(363,676)</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1,898,147</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(1,790,188)</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(39,974)</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67,985</w:t>
            </w:r>
          </w:p>
        </w:tc>
        <w:tc>
          <w:tcPr>
            <w:tcW w:w="0" w:type="dxa"/>
            <w:vAlign w:val="bottom"/>
          </w:tcPr>
          <w:p>
            <w:pPr>
              <w:spacing w:after="0"/>
              <w:rPr>
                <w:sz w:val="1"/>
                <w:szCs w:val="1"/>
                <w:color w:val="auto"/>
              </w:rPr>
            </w:pPr>
          </w:p>
        </w:tc>
      </w:tr>
      <w:tr>
        <w:trPr>
          <w:trHeight w:val="26"/>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-748030</wp:posOffset>
            </wp:positionV>
            <wp:extent cx="7103110" cy="2076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3110" cy="20764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-415290</wp:posOffset>
            </wp:positionV>
            <wp:extent cx="7103110" cy="1244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3110" cy="1244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-165735</wp:posOffset>
            </wp:positionV>
            <wp:extent cx="7103110" cy="1498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3110" cy="1498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-1005840</wp:posOffset>
            </wp:positionV>
            <wp:extent cx="7103110" cy="133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3110" cy="133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260"/>
            <w:col w:w="8480"/>
          </w:cols>
          <w:pgMar w:left="320" w:top="121" w:right="359" w:bottom="1440" w:gutter="0" w:footer="0" w:header="0"/>
          <w:type w:val="continuous"/>
        </w:sectPr>
      </w:pP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Amounts Not Offset in the Condensed</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Net Amounts of</w:t>
            </w:r>
          </w:p>
        </w:tc>
        <w:tc>
          <w:tcPr>
            <w:tcW w:w="180" w:type="dxa"/>
            <w:vAlign w:val="bottom"/>
          </w:tcPr>
          <w:p>
            <w:pPr>
              <w:spacing w:after="0"/>
              <w:rPr>
                <w:sz w:val="11"/>
                <w:szCs w:val="11"/>
                <w:color w:val="auto"/>
              </w:rPr>
            </w:pPr>
          </w:p>
        </w:tc>
        <w:tc>
          <w:tcPr>
            <w:tcW w:w="2580" w:type="dxa"/>
            <w:vAlign w:val="bottom"/>
            <w:gridSpan w:val="5"/>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Consolidated Statements of Financial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5"/>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Condition</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tcPr>
          <w:p>
            <w:pPr>
              <w:jc w:val="center"/>
              <w:ind w:right="200"/>
              <w:spacing w:after="0" w:line="66" w:lineRule="exact"/>
              <w:rPr>
                <w:sz w:val="20"/>
                <w:szCs w:val="20"/>
                <w:color w:val="auto"/>
              </w:rPr>
            </w:pPr>
            <w:r>
              <w:rPr>
                <w:rFonts w:ascii="Times New Roman" w:cs="Times New Roman" w:eastAsia="Times New Roman" w:hAnsi="Times New Roman"/>
                <w:sz w:val="7"/>
                <w:szCs w:val="7"/>
                <w:b w:val="1"/>
                <w:bCs w:val="1"/>
                <w:color w:val="auto"/>
              </w:rPr>
              <w:t>Amounts Offset in the</w:t>
            </w:r>
          </w:p>
        </w:tc>
        <w:tc>
          <w:tcPr>
            <w:tcW w:w="1620" w:type="dxa"/>
            <w:vAlign w:val="bottom"/>
            <w:gridSpan w:val="3"/>
          </w:tcPr>
          <w:p>
            <w:pPr>
              <w:jc w:val="center"/>
              <w:ind w:right="100"/>
              <w:spacing w:after="0" w:line="66" w:lineRule="exact"/>
              <w:rPr>
                <w:sz w:val="20"/>
                <w:szCs w:val="20"/>
                <w:color w:val="auto"/>
              </w:rPr>
            </w:pPr>
            <w:r>
              <w:rPr>
                <w:rFonts w:ascii="Times New Roman" w:cs="Times New Roman" w:eastAsia="Times New Roman" w:hAnsi="Times New Roman"/>
                <w:sz w:val="7"/>
                <w:szCs w:val="7"/>
                <w:b w:val="1"/>
                <w:bCs w:val="1"/>
                <w:color w:val="auto"/>
              </w:rPr>
              <w:t>Liabilities Presented in</w:t>
            </w: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w w:val="98"/>
              </w:rPr>
              <w:t>Gross Amounts of</w:t>
            </w:r>
          </w:p>
        </w:tc>
        <w:tc>
          <w:tcPr>
            <w:tcW w:w="164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80" w:type="dxa"/>
            <w:vAlign w:val="bottom"/>
          </w:tcPr>
          <w:p>
            <w:pPr>
              <w:spacing w:after="0"/>
              <w:rPr>
                <w:sz w:val="13"/>
                <w:szCs w:val="13"/>
                <w:color w:val="auto"/>
              </w:rPr>
            </w:pPr>
          </w:p>
        </w:tc>
        <w:tc>
          <w:tcPr>
            <w:tcW w:w="1540" w:type="dxa"/>
            <w:vAlign w:val="bottom"/>
            <w:gridSpan w:val="2"/>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w w:val="99"/>
              </w:rPr>
              <w:t>the Consolidated</w:t>
            </w:r>
          </w:p>
        </w:tc>
        <w:tc>
          <w:tcPr>
            <w:tcW w:w="180" w:type="dxa"/>
            <w:vAlign w:val="bottom"/>
          </w:tcPr>
          <w:p>
            <w:pPr>
              <w:spacing w:after="0"/>
              <w:rPr>
                <w:sz w:val="13"/>
                <w:szCs w:val="13"/>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Counterparty</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00" w:type="dxa"/>
            <w:vAlign w:val="bottom"/>
          </w:tcPr>
          <w:p>
            <w:pPr>
              <w:spacing w:after="0"/>
              <w:rPr>
                <w:sz w:val="12"/>
                <w:szCs w:val="12"/>
                <w:color w:val="auto"/>
              </w:rPr>
            </w:pPr>
          </w:p>
        </w:tc>
        <w:tc>
          <w:tcPr>
            <w:tcW w:w="15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Statement of Financial</w:t>
            </w:r>
          </w:p>
        </w:tc>
        <w:tc>
          <w:tcPr>
            <w:tcW w:w="80" w:type="dxa"/>
            <w:vAlign w:val="bottom"/>
          </w:tcPr>
          <w:p>
            <w:pPr>
              <w:spacing w:after="0"/>
              <w:rPr>
                <w:sz w:val="12"/>
                <w:szCs w:val="12"/>
                <w:color w:val="auto"/>
              </w:rPr>
            </w:pPr>
          </w:p>
        </w:tc>
        <w:tc>
          <w:tcPr>
            <w:tcW w:w="154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Statement of Financial</w:t>
            </w: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Netting/ Cash</w:t>
            </w:r>
          </w:p>
        </w:tc>
        <w:tc>
          <w:tcPr>
            <w:tcW w:w="120" w:type="dxa"/>
            <w:vAlign w:val="bottom"/>
          </w:tcPr>
          <w:p>
            <w:pPr>
              <w:spacing w:after="0"/>
              <w:rPr>
                <w:sz w:val="12"/>
                <w:szCs w:val="12"/>
                <w:color w:val="auto"/>
              </w:rPr>
            </w:pP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0"/>
        </w:trPr>
        <w:tc>
          <w:tcPr>
            <w:tcW w:w="2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Liabilities</w:t>
            </w:r>
          </w:p>
        </w:tc>
        <w:tc>
          <w:tcPr>
            <w:tcW w:w="10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Condition</w:t>
            </w:r>
          </w:p>
        </w:tc>
        <w:tc>
          <w:tcPr>
            <w:tcW w:w="80" w:type="dxa"/>
            <w:vAlign w:val="bottom"/>
          </w:tcPr>
          <w:p>
            <w:pPr>
              <w:spacing w:after="0"/>
              <w:rPr>
                <w:sz w:val="16"/>
                <w:szCs w:val="16"/>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8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Collateral</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Offsetting of Financial Liabilities: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loaned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1,268,377</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1,268,377</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(1,228,770)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18,988</w:t>
            </w:r>
          </w:p>
        </w:tc>
        <w:tc>
          <w:tcPr>
            <w:tcW w:w="0" w:type="dxa"/>
            <w:vAlign w:val="bottom"/>
          </w:tcPr>
          <w:p>
            <w:pPr>
              <w:spacing w:after="0"/>
              <w:rPr>
                <w:sz w:val="1"/>
                <w:szCs w:val="1"/>
                <w:color w:val="auto"/>
              </w:rPr>
            </w:pPr>
          </w:p>
        </w:tc>
      </w:tr>
      <w:tr>
        <w:trPr>
          <w:trHeight w:val="138"/>
        </w:trPr>
        <w:tc>
          <w:tcPr>
            <w:tcW w:w="27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Securities sold under agreements to</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549,707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549,707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(549,707)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repurchase</w:t>
            </w: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70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color w:val="auto"/>
              </w:rPr>
              <w:t>Payable to broker-dealers and clearing</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organizations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rate swaps</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Trading liabilities, at fair value: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Currency forwards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344,241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(344,241)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Options</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0" w:type="dxa"/>
            <w:vAlign w:val="bottom"/>
          </w:tcPr>
          <w:p>
            <w:pPr>
              <w:spacing w:after="0"/>
              <w:rPr>
                <w:sz w:val="1"/>
                <w:szCs w:val="1"/>
                <w:color w:val="auto"/>
              </w:rPr>
            </w:pPr>
          </w:p>
        </w:tc>
      </w:tr>
      <w:tr>
        <w:trPr>
          <w:trHeight w:val="221"/>
        </w:trPr>
        <w:tc>
          <w:tcPr>
            <w:tcW w:w="2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2,183,213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(344,241)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1,838,972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(1,778,477)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20,521</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0"/>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Amounts Not Offset in the Condensed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Amounts of Assets</w:t>
            </w:r>
          </w:p>
        </w:tc>
        <w:tc>
          <w:tcPr>
            <w:tcW w:w="180" w:type="dxa"/>
            <w:vAlign w:val="bottom"/>
          </w:tcPr>
          <w:p>
            <w:pPr>
              <w:spacing w:after="0"/>
              <w:rPr>
                <w:sz w:val="11"/>
                <w:szCs w:val="11"/>
                <w:color w:val="auto"/>
              </w:rPr>
            </w:pPr>
          </w:p>
        </w:tc>
        <w:tc>
          <w:tcPr>
            <w:tcW w:w="2580" w:type="dxa"/>
            <w:vAlign w:val="bottom"/>
            <w:gridSpan w:val="5"/>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Consolidated Statements of Financial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5"/>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Condition</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tcPr>
          <w:p>
            <w:pPr>
              <w:jc w:val="center"/>
              <w:ind w:right="200"/>
              <w:spacing w:after="0" w:line="66" w:lineRule="exact"/>
              <w:rPr>
                <w:sz w:val="20"/>
                <w:szCs w:val="20"/>
                <w:color w:val="auto"/>
              </w:rPr>
            </w:pPr>
            <w:r>
              <w:rPr>
                <w:rFonts w:ascii="Times New Roman" w:cs="Times New Roman" w:eastAsia="Times New Roman" w:hAnsi="Times New Roman"/>
                <w:sz w:val="7"/>
                <w:szCs w:val="7"/>
                <w:b w:val="1"/>
                <w:bCs w:val="1"/>
                <w:color w:val="auto"/>
              </w:rPr>
              <w:t>Amounts Offset in the</w:t>
            </w:r>
          </w:p>
        </w:tc>
        <w:tc>
          <w:tcPr>
            <w:tcW w:w="80" w:type="dxa"/>
            <w:vAlign w:val="bottom"/>
          </w:tcPr>
          <w:p>
            <w:pPr>
              <w:spacing w:after="0"/>
              <w:rPr>
                <w:sz w:val="5"/>
                <w:szCs w:val="5"/>
                <w:color w:val="auto"/>
              </w:rPr>
            </w:pPr>
          </w:p>
        </w:tc>
        <w:tc>
          <w:tcPr>
            <w:tcW w:w="1540" w:type="dxa"/>
            <w:vAlign w:val="bottom"/>
            <w:gridSpan w:val="2"/>
          </w:tcPr>
          <w:p>
            <w:pPr>
              <w:jc w:val="center"/>
              <w:ind w:right="180"/>
              <w:spacing w:after="0" w:line="66" w:lineRule="exact"/>
              <w:rPr>
                <w:sz w:val="20"/>
                <w:szCs w:val="20"/>
                <w:color w:val="auto"/>
              </w:rPr>
            </w:pPr>
            <w:r>
              <w:rPr>
                <w:rFonts w:ascii="Times New Roman" w:cs="Times New Roman" w:eastAsia="Times New Roman" w:hAnsi="Times New Roman"/>
                <w:sz w:val="7"/>
                <w:szCs w:val="7"/>
                <w:b w:val="1"/>
                <w:bCs w:val="1"/>
                <w:color w:val="auto"/>
              </w:rPr>
              <w:t>Presented in the</w:t>
            </w: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Gross Amounts of</w:t>
            </w:r>
          </w:p>
        </w:tc>
        <w:tc>
          <w:tcPr>
            <w:tcW w:w="164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162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Condensed Consolidated</w:t>
            </w:r>
          </w:p>
        </w:tc>
        <w:tc>
          <w:tcPr>
            <w:tcW w:w="180" w:type="dxa"/>
            <w:vAlign w:val="bottom"/>
          </w:tcPr>
          <w:p>
            <w:pPr>
              <w:spacing w:after="0"/>
              <w:rPr>
                <w:sz w:val="13"/>
                <w:szCs w:val="13"/>
                <w:color w:val="auto"/>
              </w:rPr>
            </w:pPr>
          </w:p>
        </w:tc>
        <w:tc>
          <w:tcPr>
            <w:tcW w:w="122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Counterparty</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Statement of Financial</w:t>
            </w:r>
          </w:p>
        </w:tc>
        <w:tc>
          <w:tcPr>
            <w:tcW w:w="162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Statements of Financial</w:t>
            </w: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Instrument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Netting/ Cash</w:t>
            </w:r>
          </w:p>
        </w:tc>
        <w:tc>
          <w:tcPr>
            <w:tcW w:w="120" w:type="dxa"/>
            <w:vAlign w:val="bottom"/>
          </w:tcPr>
          <w:p>
            <w:pPr>
              <w:spacing w:after="0"/>
              <w:rPr>
                <w:sz w:val="12"/>
                <w:szCs w:val="12"/>
                <w:color w:val="auto"/>
              </w:rPr>
            </w:pPr>
          </w:p>
        </w:tc>
        <w:tc>
          <w:tcPr>
            <w:tcW w:w="9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0"/>
        </w:trPr>
        <w:tc>
          <w:tcPr>
            <w:tcW w:w="2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Recognized Assets</w:t>
            </w:r>
          </w:p>
        </w:tc>
        <w:tc>
          <w:tcPr>
            <w:tcW w:w="10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Condition</w:t>
            </w:r>
          </w:p>
        </w:tc>
        <w:tc>
          <w:tcPr>
            <w:tcW w:w="80" w:type="dxa"/>
            <w:vAlign w:val="bottom"/>
          </w:tcPr>
          <w:p>
            <w:pPr>
              <w:spacing w:after="0"/>
              <w:rPr>
                <w:sz w:val="16"/>
                <w:szCs w:val="16"/>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Collateral</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Offsetting of Financial Assets: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borrowed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1,349,322</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1,349,322</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(1,299,270)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44,998</w:t>
            </w:r>
          </w:p>
        </w:tc>
        <w:tc>
          <w:tcPr>
            <w:tcW w:w="0" w:type="dxa"/>
            <w:vAlign w:val="bottom"/>
          </w:tcPr>
          <w:p>
            <w:pPr>
              <w:spacing w:after="0"/>
              <w:rPr>
                <w:sz w:val="1"/>
                <w:szCs w:val="1"/>
                <w:color w:val="auto"/>
              </w:rPr>
            </w:pPr>
          </w:p>
        </w:tc>
      </w:tr>
      <w:tr>
        <w:trPr>
          <w:trHeight w:val="138"/>
        </w:trPr>
        <w:tc>
          <w:tcPr>
            <w:tcW w:w="27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Securities purchased under agreements to</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resell</w:t>
            </w: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Trading assets, at fair value: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Currency forwards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(206,125)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0"/>
        </w:trPr>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Options</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0" w:type="dxa"/>
            <w:vAlign w:val="bottom"/>
          </w:tcPr>
          <w:p>
            <w:pPr>
              <w:spacing w:after="0"/>
              <w:rPr>
                <w:sz w:val="1"/>
                <w:szCs w:val="1"/>
                <w:color w:val="auto"/>
              </w:rPr>
            </w:pPr>
          </w:p>
        </w:tc>
      </w:tr>
      <w:tr>
        <w:trPr>
          <w:trHeight w:val="221"/>
        </w:trPr>
        <w:tc>
          <w:tcPr>
            <w:tcW w:w="2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1,683,576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(206,125)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1,477,451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(1,418,723)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48,466</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Offsetting of Financial Liabilities:</w:t>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Securities loaned</w:t>
      </w:r>
    </w:p>
    <w:p>
      <w:pPr>
        <w:spacing w:after="0" w:line="35" w:lineRule="exact"/>
        <w:rPr>
          <w:sz w:val="20"/>
          <w:szCs w:val="20"/>
          <w:color w:val="auto"/>
        </w:rPr>
      </w:pPr>
    </w:p>
    <w:p>
      <w:pPr>
        <w:ind w:left="160"/>
        <w:spacing w:after="0" w:line="244" w:lineRule="auto"/>
        <w:rPr>
          <w:sz w:val="20"/>
          <w:szCs w:val="20"/>
          <w:color w:val="auto"/>
        </w:rPr>
      </w:pPr>
      <w:r>
        <w:rPr>
          <w:rFonts w:ascii="Times New Roman" w:cs="Times New Roman" w:eastAsia="Times New Roman" w:hAnsi="Times New Roman"/>
          <w:sz w:val="14"/>
          <w:szCs w:val="14"/>
          <w:color w:val="auto"/>
        </w:rPr>
        <w:t>Securities sold under agreements to repurchase</w:t>
      </w:r>
    </w:p>
    <w:p>
      <w:pPr>
        <w:ind w:left="160"/>
        <w:spacing w:after="0"/>
        <w:rPr>
          <w:sz w:val="20"/>
          <w:szCs w:val="20"/>
          <w:color w:val="auto"/>
        </w:rPr>
      </w:pPr>
      <w:r>
        <w:rPr>
          <w:rFonts w:ascii="Times New Roman" w:cs="Times New Roman" w:eastAsia="Times New Roman" w:hAnsi="Times New Roman"/>
          <w:sz w:val="14"/>
          <w:szCs w:val="14"/>
          <w:color w:val="auto"/>
        </w:rPr>
        <w:t>Interest rate swaps</w:t>
      </w:r>
    </w:p>
    <w:p>
      <w:pPr>
        <w:spacing w:after="0" w:line="35" w:lineRule="exact"/>
        <w:rPr>
          <w:sz w:val="20"/>
          <w:szCs w:val="20"/>
          <w:color w:val="auto"/>
        </w:rPr>
      </w:pPr>
    </w:p>
    <w:p>
      <w:pPr>
        <w:ind w:left="240" w:right="220" w:hanging="78"/>
        <w:spacing w:after="0" w:line="331" w:lineRule="auto"/>
        <w:rPr>
          <w:sz w:val="20"/>
          <w:szCs w:val="20"/>
          <w:color w:val="auto"/>
        </w:rPr>
      </w:pPr>
      <w:r>
        <w:rPr>
          <w:rFonts w:ascii="Times New Roman" w:cs="Times New Roman" w:eastAsia="Times New Roman" w:hAnsi="Times New Roman"/>
          <w:sz w:val="14"/>
          <w:szCs w:val="14"/>
          <w:color w:val="auto"/>
        </w:rPr>
        <w:t>Trading liabilities, at fair value: Currency forwards Options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Amounts Not Offset in the Condensed</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Amounts of Assets</w:t>
            </w:r>
          </w:p>
        </w:tc>
        <w:tc>
          <w:tcPr>
            <w:tcW w:w="140" w:type="dxa"/>
            <w:vAlign w:val="bottom"/>
          </w:tcPr>
          <w:p>
            <w:pPr>
              <w:spacing w:after="0"/>
              <w:rPr>
                <w:sz w:val="12"/>
                <w:szCs w:val="12"/>
                <w:color w:val="auto"/>
              </w:rPr>
            </w:pPr>
          </w:p>
        </w:tc>
        <w:tc>
          <w:tcPr>
            <w:tcW w:w="2620" w:type="dxa"/>
            <w:vAlign w:val="bottom"/>
            <w:gridSpan w:val="5"/>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Consolidated Statements of Financial</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Amounts Offset in the</w:t>
            </w:r>
          </w:p>
        </w:tc>
        <w:tc>
          <w:tcPr>
            <w:tcW w:w="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gridSpan w:val="5"/>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Condition</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2"/>
          </w:tcPr>
          <w:p>
            <w:pPr>
              <w:jc w:val="center"/>
              <w:ind w:right="180"/>
              <w:spacing w:after="0" w:line="66" w:lineRule="exact"/>
              <w:rPr>
                <w:sz w:val="20"/>
                <w:szCs w:val="20"/>
                <w:color w:val="auto"/>
              </w:rPr>
            </w:pPr>
            <w:r>
              <w:rPr>
                <w:rFonts w:ascii="Times New Roman" w:cs="Times New Roman" w:eastAsia="Times New Roman" w:hAnsi="Times New Roman"/>
                <w:sz w:val="7"/>
                <w:szCs w:val="7"/>
                <w:b w:val="1"/>
                <w:bCs w:val="1"/>
                <w:color w:val="auto"/>
              </w:rPr>
              <w:t>Presented in the</w:t>
            </w:r>
          </w:p>
        </w:tc>
        <w:tc>
          <w:tcPr>
            <w:tcW w:w="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64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8"/>
              </w:rPr>
              <w:t>Condensed Consolidated</w:t>
            </w:r>
          </w:p>
        </w:tc>
        <w:tc>
          <w:tcPr>
            <w:tcW w:w="162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Condensed Consolidated</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Counterparty</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Statement of Financial</w:t>
            </w:r>
          </w:p>
        </w:tc>
        <w:tc>
          <w:tcPr>
            <w:tcW w:w="162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Statements of Financial</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Instrument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Netting/ Cash</w:t>
            </w:r>
          </w:p>
        </w:tc>
        <w:tc>
          <w:tcPr>
            <w:tcW w:w="140" w:type="dxa"/>
            <w:vAlign w:val="bottom"/>
          </w:tcPr>
          <w:p>
            <w:pPr>
              <w:spacing w:after="0"/>
              <w:rPr>
                <w:sz w:val="12"/>
                <w:szCs w:val="12"/>
                <w:color w:val="auto"/>
              </w:rPr>
            </w:pPr>
          </w:p>
        </w:tc>
        <w:tc>
          <w:tcPr>
            <w:tcW w:w="9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1"/>
        </w:trPr>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Recognized Assets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6"/>
              </w:rPr>
              <w:t>Condition</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6"/>
              </w:rPr>
              <w:t>Collateral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(1,107,688)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17,088</w:t>
            </w:r>
          </w:p>
        </w:tc>
        <w:tc>
          <w:tcPr>
            <w:tcW w:w="0" w:type="dxa"/>
            <w:vAlign w:val="bottom"/>
          </w:tcPr>
          <w:p>
            <w:pPr>
              <w:spacing w:after="0"/>
              <w:rPr>
                <w:sz w:val="1"/>
                <w:szCs w:val="1"/>
                <w:color w:val="auto"/>
              </w:rPr>
            </w:pPr>
          </w:p>
        </w:tc>
      </w:tr>
      <w:tr>
        <w:trPr>
          <w:trHeight w:val="327"/>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0" w:type="dxa"/>
            <w:vAlign w:val="bottom"/>
          </w:tcPr>
          <w:p>
            <w:pPr>
              <w:spacing w:after="0"/>
              <w:rPr>
                <w:sz w:val="1"/>
                <w:szCs w:val="1"/>
                <w:color w:val="auto"/>
              </w:rPr>
            </w:pPr>
          </w:p>
        </w:tc>
      </w:tr>
      <w:tr>
        <w:trPr>
          <w:trHeight w:val="393"/>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208,357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(208,356)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1,890,975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(208,356)</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1,682,619</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(1,622,013)</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(22,480)</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38,126</w:t>
            </w:r>
          </w:p>
        </w:tc>
        <w:tc>
          <w:tcPr>
            <w:tcW w:w="0" w:type="dxa"/>
            <w:vAlign w:val="bottom"/>
          </w:tcPr>
          <w:p>
            <w:pPr>
              <w:spacing w:after="0"/>
              <w:rPr>
                <w:sz w:val="1"/>
                <w:szCs w:val="1"/>
                <w:color w:val="auto"/>
              </w:rPr>
            </w:pPr>
          </w:p>
        </w:tc>
      </w:tr>
      <w:tr>
        <w:trPr>
          <w:trHeight w:val="26"/>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-872490</wp:posOffset>
            </wp:positionV>
            <wp:extent cx="7103110" cy="2076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3110" cy="20764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-539750</wp:posOffset>
            </wp:positionV>
            <wp:extent cx="7103110" cy="1244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3110" cy="1244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-290195</wp:posOffset>
            </wp:positionV>
            <wp:extent cx="7103110" cy="1244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3110" cy="1244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-1130300</wp:posOffset>
            </wp:positionV>
            <wp:extent cx="7103110" cy="133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3110" cy="133350"/>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2160" w:space="580"/>
            <w:col w:w="8480"/>
          </w:cols>
          <w:pgMar w:left="320" w:top="121" w:right="359" w:bottom="1440" w:gutter="0" w:footer="0" w:header="0"/>
          <w:type w:val="continuous"/>
        </w:sectPr>
      </w:pPr>
    </w:p>
    <w:p>
      <w:pPr>
        <w:ind w:right="16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 presents gross obligations for securities sold under agreements to repurchase and for securities lending transactions by remaining contractual maturity and the class of collateral pledged:</w:t>
      </w:r>
    </w:p>
    <w:p>
      <w:pPr>
        <w:spacing w:after="0" w:line="206"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w w:val="98"/>
              </w:rPr>
              <w:t>March 31, 2022</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Remaining Contractual Maturity</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0" w:lineRule="exact"/>
              <w:rPr>
                <w:sz w:val="20"/>
                <w:szCs w:val="20"/>
                <w:color w:val="auto"/>
              </w:rPr>
            </w:pPr>
            <w:r>
              <w:rPr>
                <w:rFonts w:ascii="Times New Roman" w:cs="Times New Roman" w:eastAsia="Times New Roman" w:hAnsi="Times New Roman"/>
                <w:sz w:val="14"/>
                <w:szCs w:val="14"/>
                <w:b w:val="1"/>
                <w:bCs w:val="1"/>
                <w:color w:val="auto"/>
              </w:rPr>
              <w:t>Overnight and</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30 days</w:t>
            </w:r>
          </w:p>
        </w:tc>
        <w:tc>
          <w:tcPr>
            <w:tcW w:w="220" w:type="dxa"/>
            <w:vAlign w:val="bottom"/>
          </w:tcPr>
          <w:p>
            <w:pPr>
              <w:spacing w:after="0"/>
              <w:rPr>
                <w:sz w:val="11"/>
                <w:szCs w:val="11"/>
                <w:color w:val="auto"/>
              </w:rPr>
            </w:pPr>
          </w:p>
        </w:tc>
        <w:tc>
          <w:tcPr>
            <w:tcW w:w="920" w:type="dxa"/>
            <w:vAlign w:val="bottom"/>
          </w:tcPr>
          <w:p>
            <w:pPr>
              <w:jc w:val="center"/>
              <w:ind w:right="150"/>
              <w:spacing w:after="0" w:line="130" w:lineRule="exact"/>
              <w:rPr>
                <w:sz w:val="20"/>
                <w:szCs w:val="20"/>
                <w:color w:val="auto"/>
              </w:rPr>
            </w:pPr>
            <w:r>
              <w:rPr>
                <w:rFonts w:ascii="Times New Roman" w:cs="Times New Roman" w:eastAsia="Times New Roman" w:hAnsi="Times New Roman"/>
                <w:sz w:val="14"/>
                <w:szCs w:val="14"/>
                <w:b w:val="1"/>
                <w:bCs w:val="1"/>
                <w:color w:val="auto"/>
                <w:w w:val="95"/>
              </w:rPr>
              <w:t>30 - 60</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jc w:val="center"/>
              <w:ind w:right="290"/>
              <w:spacing w:after="0" w:line="130" w:lineRule="exact"/>
              <w:rPr>
                <w:sz w:val="20"/>
                <w:szCs w:val="20"/>
                <w:color w:val="auto"/>
              </w:rPr>
            </w:pPr>
            <w:r>
              <w:rPr>
                <w:rFonts w:ascii="Times New Roman" w:cs="Times New Roman" w:eastAsia="Times New Roman" w:hAnsi="Times New Roman"/>
                <w:sz w:val="14"/>
                <w:szCs w:val="14"/>
                <w:b w:val="1"/>
                <w:bCs w:val="1"/>
                <w:color w:val="auto"/>
              </w:rPr>
              <w:t>61 - 90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180"/>
              <w:spacing w:after="0" w:line="130" w:lineRule="exact"/>
              <w:rPr>
                <w:sz w:val="20"/>
                <w:szCs w:val="20"/>
                <w:color w:val="auto"/>
              </w:rPr>
            </w:pPr>
            <w:r>
              <w:rPr>
                <w:rFonts w:ascii="Times New Roman" w:cs="Times New Roman" w:eastAsia="Times New Roman" w:hAnsi="Times New Roman"/>
                <w:sz w:val="14"/>
                <w:szCs w:val="14"/>
                <w:b w:val="1"/>
                <w:bCs w:val="1"/>
                <w:color w:val="auto"/>
              </w:rPr>
              <w:t>Greater than 90</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Continuous</w:t>
            </w:r>
          </w:p>
        </w:tc>
        <w:tc>
          <w:tcPr>
            <w:tcW w:w="12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days</w:t>
            </w:r>
          </w:p>
        </w:tc>
        <w:tc>
          <w:tcPr>
            <w:tcW w:w="360" w:type="dxa"/>
            <w:vAlign w:val="bottom"/>
          </w:tcPr>
          <w:p>
            <w:pPr>
              <w:spacing w:after="0"/>
              <w:rPr>
                <w:sz w:val="16"/>
                <w:szCs w:val="16"/>
                <w:color w:val="auto"/>
              </w:rPr>
            </w:pPr>
          </w:p>
        </w:tc>
        <w:tc>
          <w:tcPr>
            <w:tcW w:w="8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4"/>
              </w:rPr>
              <w:t>Days</w:t>
            </w:r>
          </w:p>
        </w:tc>
        <w:tc>
          <w:tcPr>
            <w:tcW w:w="8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0" w:type="dxa"/>
            <w:vAlign w:val="bottom"/>
          </w:tcPr>
          <w:p>
            <w:pPr>
              <w:spacing w:after="0"/>
              <w:rPr>
                <w:sz w:val="1"/>
                <w:szCs w:val="1"/>
                <w:color w:val="auto"/>
              </w:rPr>
            </w:pPr>
          </w:p>
        </w:tc>
      </w:tr>
      <w:tr>
        <w:trPr>
          <w:trHeight w:val="190"/>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149,707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149,707</w:t>
            </w:r>
          </w:p>
        </w:tc>
        <w:tc>
          <w:tcPr>
            <w:tcW w:w="0" w:type="dxa"/>
            <w:vAlign w:val="bottom"/>
          </w:tcPr>
          <w:p>
            <w:pPr>
              <w:spacing w:after="0"/>
              <w:rPr>
                <w:sz w:val="1"/>
                <w:szCs w:val="1"/>
                <w:color w:val="auto"/>
              </w:rPr>
            </w:pPr>
          </w:p>
        </w:tc>
      </w:tr>
      <w:tr>
        <w:trPr>
          <w:trHeight w:val="221"/>
        </w:trPr>
        <w:tc>
          <w:tcPr>
            <w:tcW w:w="3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549,707</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loaned:</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1,268,377</w:t>
            </w:r>
          </w:p>
        </w:tc>
        <w:tc>
          <w:tcPr>
            <w:tcW w:w="12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1,268,377</w:t>
            </w:r>
          </w:p>
        </w:tc>
        <w:tc>
          <w:tcPr>
            <w:tcW w:w="0" w:type="dxa"/>
            <w:vAlign w:val="bottom"/>
          </w:tcPr>
          <w:p>
            <w:pPr>
              <w:spacing w:after="0"/>
              <w:rPr>
                <w:sz w:val="1"/>
                <w:szCs w:val="1"/>
                <w:color w:val="auto"/>
              </w:rPr>
            </w:pPr>
          </w:p>
        </w:tc>
      </w:tr>
      <w:tr>
        <w:trPr>
          <w:trHeight w:val="221"/>
        </w:trPr>
        <w:tc>
          <w:tcPr>
            <w:tcW w:w="3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1,268,377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1,268,377</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Remaining Contractual Maturity</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2" w:lineRule="exact"/>
              <w:rPr>
                <w:sz w:val="20"/>
                <w:szCs w:val="20"/>
                <w:color w:val="auto"/>
              </w:rPr>
            </w:pPr>
            <w:r>
              <w:rPr>
                <w:rFonts w:ascii="Times New Roman" w:cs="Times New Roman" w:eastAsia="Times New Roman" w:hAnsi="Times New Roman"/>
                <w:sz w:val="14"/>
                <w:szCs w:val="14"/>
                <w:b w:val="1"/>
                <w:bCs w:val="1"/>
                <w:color w:val="auto"/>
              </w:rPr>
              <w:t>Overnight and</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30 days</w:t>
            </w:r>
          </w:p>
        </w:tc>
        <w:tc>
          <w:tcPr>
            <w:tcW w:w="220" w:type="dxa"/>
            <w:vAlign w:val="bottom"/>
          </w:tcPr>
          <w:p>
            <w:pPr>
              <w:spacing w:after="0"/>
              <w:rPr>
                <w:sz w:val="11"/>
                <w:szCs w:val="11"/>
                <w:color w:val="auto"/>
              </w:rPr>
            </w:pPr>
          </w:p>
        </w:tc>
        <w:tc>
          <w:tcPr>
            <w:tcW w:w="920" w:type="dxa"/>
            <w:vAlign w:val="bottom"/>
          </w:tcPr>
          <w:p>
            <w:pPr>
              <w:jc w:val="center"/>
              <w:ind w:right="170"/>
              <w:spacing w:after="0" w:line="132" w:lineRule="exact"/>
              <w:rPr>
                <w:sz w:val="20"/>
                <w:szCs w:val="20"/>
                <w:color w:val="auto"/>
              </w:rPr>
            </w:pPr>
            <w:r>
              <w:rPr>
                <w:rFonts w:ascii="Times New Roman" w:cs="Times New Roman" w:eastAsia="Times New Roman" w:hAnsi="Times New Roman"/>
                <w:sz w:val="14"/>
                <w:szCs w:val="14"/>
                <w:b w:val="1"/>
                <w:bCs w:val="1"/>
                <w:color w:val="auto"/>
              </w:rPr>
              <w:t>30 - 60</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jc w:val="center"/>
              <w:ind w:right="290"/>
              <w:spacing w:after="0" w:line="132" w:lineRule="exact"/>
              <w:rPr>
                <w:sz w:val="20"/>
                <w:szCs w:val="20"/>
                <w:color w:val="auto"/>
              </w:rPr>
            </w:pPr>
            <w:r>
              <w:rPr>
                <w:rFonts w:ascii="Times New Roman" w:cs="Times New Roman" w:eastAsia="Times New Roman" w:hAnsi="Times New Roman"/>
                <w:sz w:val="14"/>
                <w:szCs w:val="14"/>
                <w:b w:val="1"/>
                <w:bCs w:val="1"/>
                <w:color w:val="auto"/>
              </w:rPr>
              <w:t>61 - 90</w:t>
            </w:r>
          </w:p>
        </w:tc>
        <w:tc>
          <w:tcPr>
            <w:tcW w:w="100" w:type="dxa"/>
            <w:vAlign w:val="bottom"/>
          </w:tcPr>
          <w:p>
            <w:pPr>
              <w:spacing w:after="0"/>
              <w:rPr>
                <w:sz w:val="11"/>
                <w:szCs w:val="11"/>
                <w:color w:val="auto"/>
              </w:rPr>
            </w:pPr>
          </w:p>
        </w:tc>
        <w:tc>
          <w:tcPr>
            <w:tcW w:w="1220" w:type="dxa"/>
            <w:vAlign w:val="bottom"/>
            <w:gridSpan w:val="3"/>
          </w:tcPr>
          <w:p>
            <w:pPr>
              <w:jc w:val="center"/>
              <w:ind w:right="120"/>
              <w:spacing w:after="0" w:line="132" w:lineRule="exact"/>
              <w:rPr>
                <w:sz w:val="20"/>
                <w:szCs w:val="20"/>
                <w:color w:val="auto"/>
              </w:rPr>
            </w:pPr>
            <w:r>
              <w:rPr>
                <w:rFonts w:ascii="Times New Roman" w:cs="Times New Roman" w:eastAsia="Times New Roman" w:hAnsi="Times New Roman"/>
                <w:sz w:val="14"/>
                <w:szCs w:val="14"/>
                <w:b w:val="1"/>
                <w:bCs w:val="1"/>
                <w:color w:val="auto"/>
                <w:w w:val="98"/>
              </w:rPr>
              <w:t>Greater than 90</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Continuous</w:t>
            </w:r>
          </w:p>
        </w:tc>
        <w:tc>
          <w:tcPr>
            <w:tcW w:w="12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days</w:t>
            </w:r>
          </w:p>
        </w:tc>
        <w:tc>
          <w:tcPr>
            <w:tcW w:w="360" w:type="dxa"/>
            <w:vAlign w:val="bottom"/>
          </w:tcPr>
          <w:p>
            <w:pPr>
              <w:spacing w:after="0"/>
              <w:rPr>
                <w:sz w:val="16"/>
                <w:szCs w:val="16"/>
                <w:color w:val="auto"/>
              </w:rPr>
            </w:pPr>
          </w:p>
        </w:tc>
        <w:tc>
          <w:tcPr>
            <w:tcW w:w="8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days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0" w:type="dxa"/>
            <w:vAlign w:val="bottom"/>
          </w:tcPr>
          <w:p>
            <w:pPr>
              <w:spacing w:after="0"/>
              <w:rPr>
                <w:sz w:val="1"/>
                <w:szCs w:val="1"/>
                <w:color w:val="auto"/>
              </w:rPr>
            </w:pPr>
          </w:p>
        </w:tc>
      </w:tr>
      <w:tr>
        <w:trPr>
          <w:trHeight w:val="190"/>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114,325</w:t>
            </w:r>
          </w:p>
        </w:tc>
        <w:tc>
          <w:tcPr>
            <w:tcW w:w="0" w:type="dxa"/>
            <w:vAlign w:val="bottom"/>
          </w:tcPr>
          <w:p>
            <w:pPr>
              <w:spacing w:after="0"/>
              <w:rPr>
                <w:sz w:val="1"/>
                <w:szCs w:val="1"/>
                <w:color w:val="auto"/>
              </w:rPr>
            </w:pPr>
          </w:p>
        </w:tc>
      </w:tr>
      <w:tr>
        <w:trPr>
          <w:trHeight w:val="221"/>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loaned:</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0" w:type="dxa"/>
            <w:vAlign w:val="bottom"/>
          </w:tcPr>
          <w:p>
            <w:pPr>
              <w:spacing w:after="0"/>
              <w:rPr>
                <w:sz w:val="1"/>
                <w:szCs w:val="1"/>
                <w:color w:val="auto"/>
              </w:rPr>
            </w:pPr>
          </w:p>
        </w:tc>
      </w:tr>
      <w:tr>
        <w:trPr>
          <w:trHeight w:val="221"/>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Derivative Instruments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fair value of the Company’s derivative instruments on a gross basis consisted of the following at March 31, 2022 and December 31, 2021:</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6"/>
                <w:szCs w:val="16"/>
                <w:color w:val="auto"/>
              </w:rPr>
            </w:pPr>
          </w:p>
        </w:tc>
        <w:tc>
          <w:tcPr>
            <w:tcW w:w="232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2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Assets</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Statement Location</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126"/>
        </w:trPr>
        <w:tc>
          <w:tcPr>
            <w:tcW w:w="2840" w:type="dxa"/>
            <w:vAlign w:val="bottom"/>
            <w:tcBorders>
              <w:top w:val="single" w:sz="8" w:color="auto"/>
            </w:tcBorders>
          </w:tcPr>
          <w:p>
            <w:pPr>
              <w:ind w:left="20"/>
              <w:spacing w:after="0" w:line="126" w:lineRule="exact"/>
              <w:rPr>
                <w:sz w:val="20"/>
                <w:szCs w:val="20"/>
                <w:color w:val="auto"/>
              </w:rPr>
            </w:pPr>
            <w:r>
              <w:rPr>
                <w:rFonts w:ascii="Times New Roman" w:cs="Times New Roman" w:eastAsia="Times New Roman" w:hAnsi="Times New Roman"/>
                <w:sz w:val="14"/>
                <w:szCs w:val="14"/>
                <w:b w:val="1"/>
                <w:bCs w:val="1"/>
                <w:color w:val="auto"/>
              </w:rPr>
              <w:t>Derivative instruments not designated as</w:t>
            </w:r>
          </w:p>
        </w:tc>
        <w:tc>
          <w:tcPr>
            <w:tcW w:w="120" w:type="dxa"/>
            <w:vAlign w:val="bottom"/>
          </w:tcPr>
          <w:p>
            <w:pPr>
              <w:spacing w:after="0"/>
              <w:rPr>
                <w:sz w:val="10"/>
                <w:szCs w:val="10"/>
                <w:color w:val="auto"/>
              </w:rPr>
            </w:pPr>
          </w:p>
        </w:tc>
        <w:tc>
          <w:tcPr>
            <w:tcW w:w="3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Equities futures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633,156</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406,420</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Commodity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(12,811)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8,324,178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(24,405)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5,285,216</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Currency futures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5,225,802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4,760,173</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Fixed income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tcPr>
          <w:p>
            <w:pPr>
              <w:spacing w:after="0"/>
              <w:rPr>
                <w:sz w:val="11"/>
                <w:szCs w:val="11"/>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8,489</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instruments owned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2,426,511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1,063,686</w:t>
            </w:r>
          </w:p>
        </w:tc>
        <w:tc>
          <w:tcPr>
            <w:tcW w:w="0" w:type="dxa"/>
            <w:vAlign w:val="bottom"/>
          </w:tcPr>
          <w:p>
            <w:pPr>
              <w:spacing w:after="0"/>
              <w:rPr>
                <w:sz w:val="1"/>
                <w:szCs w:val="1"/>
                <w:color w:val="auto"/>
              </w:rPr>
            </w:pPr>
          </w:p>
        </w:tc>
      </w:tr>
      <w:tr>
        <w:trPr>
          <w:trHeight w:val="18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Currency forwards</w:t>
            </w: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instruments owned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382,092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29,334,379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21,445,374</w:t>
            </w:r>
          </w:p>
        </w:tc>
        <w:tc>
          <w:tcPr>
            <w:tcW w:w="0" w:type="dxa"/>
            <w:vAlign w:val="bottom"/>
          </w:tcPr>
          <w:p>
            <w:pPr>
              <w:spacing w:after="0"/>
              <w:rPr>
                <w:sz w:val="1"/>
                <w:szCs w:val="1"/>
                <w:color w:val="auto"/>
              </w:rPr>
            </w:pPr>
          </w:p>
        </w:tc>
      </w:tr>
      <w:tr>
        <w:trPr>
          <w:trHeight w:val="217"/>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9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Derivative instruments designated as hedging</w:t>
            </w:r>
          </w:p>
        </w:tc>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Interest rate swap</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34,927</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Liabilities</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Statement Location</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126"/>
        </w:trPr>
        <w:tc>
          <w:tcPr>
            <w:tcW w:w="2840" w:type="dxa"/>
            <w:vAlign w:val="bottom"/>
            <w:tcBorders>
              <w:top w:val="single" w:sz="8" w:color="auto"/>
            </w:tcBorders>
          </w:tcPr>
          <w:p>
            <w:pPr>
              <w:ind w:left="20"/>
              <w:spacing w:after="0" w:line="126" w:lineRule="exact"/>
              <w:rPr>
                <w:sz w:val="20"/>
                <w:szCs w:val="20"/>
                <w:color w:val="auto"/>
              </w:rPr>
            </w:pPr>
            <w:r>
              <w:rPr>
                <w:rFonts w:ascii="Times New Roman" w:cs="Times New Roman" w:eastAsia="Times New Roman" w:hAnsi="Times New Roman"/>
                <w:sz w:val="14"/>
                <w:szCs w:val="14"/>
                <w:b w:val="1"/>
                <w:bCs w:val="1"/>
                <w:color w:val="auto"/>
              </w:rPr>
              <w:t>Derivative instruments not designated as</w:t>
            </w:r>
          </w:p>
        </w:tc>
        <w:tc>
          <w:tcPr>
            <w:tcW w:w="120" w:type="dxa"/>
            <w:vAlign w:val="bottom"/>
          </w:tcPr>
          <w:p>
            <w:pPr>
              <w:spacing w:after="0"/>
              <w:rPr>
                <w:sz w:val="10"/>
                <w:szCs w:val="10"/>
                <w:color w:val="auto"/>
              </w:rPr>
            </w:pPr>
          </w:p>
        </w:tc>
        <w:tc>
          <w:tcPr>
            <w:tcW w:w="3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Equities futures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2,674,190</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1,362,684</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Commodity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127,855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27,224</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Currency futures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362,623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725,162</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Fixed income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tcPr>
          <w:p>
            <w:pPr>
              <w:spacing w:after="0"/>
              <w:rPr>
                <w:sz w:val="11"/>
                <w:szCs w:val="11"/>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109,718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120,212</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instruments sold, not yet purchased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2,434,080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1,066,801</w:t>
            </w:r>
          </w:p>
        </w:tc>
        <w:tc>
          <w:tcPr>
            <w:tcW w:w="0" w:type="dxa"/>
            <w:vAlign w:val="bottom"/>
          </w:tcPr>
          <w:p>
            <w:pPr>
              <w:spacing w:after="0"/>
              <w:rPr>
                <w:sz w:val="1"/>
                <w:szCs w:val="1"/>
                <w:color w:val="auto"/>
              </w:rPr>
            </w:pPr>
          </w:p>
        </w:tc>
      </w:tr>
      <w:tr>
        <w:trPr>
          <w:trHeight w:val="18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Currency forwards</w:t>
            </w: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instruments sold, not yet purchased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344,241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29,315,454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21,446,422</w:t>
            </w:r>
          </w:p>
        </w:tc>
        <w:tc>
          <w:tcPr>
            <w:tcW w:w="0" w:type="dxa"/>
            <w:vAlign w:val="bottom"/>
          </w:tcPr>
          <w:p>
            <w:pPr>
              <w:spacing w:after="0"/>
              <w:rPr>
                <w:sz w:val="1"/>
                <w:szCs w:val="1"/>
                <w:color w:val="auto"/>
              </w:rPr>
            </w:pPr>
          </w:p>
        </w:tc>
      </w:tr>
      <w:tr>
        <w:trPr>
          <w:trHeight w:val="217"/>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9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Derivative instruments designated as hedging</w:t>
            </w:r>
          </w:p>
        </w:tc>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Interest rate swaps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1,525,000</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420" w:firstLine="629"/>
        <w:spacing w:after="0" w:line="296" w:lineRule="auto"/>
        <w:rPr>
          <w:sz w:val="20"/>
          <w:szCs w:val="20"/>
          <w:color w:val="auto"/>
        </w:rPr>
      </w:pPr>
      <w:r>
        <w:rPr>
          <w:rFonts w:ascii="Times New Roman" w:cs="Times New Roman" w:eastAsia="Times New Roman" w:hAnsi="Times New Roman"/>
          <w:sz w:val="17"/>
          <w:szCs w:val="17"/>
          <w:color w:val="auto"/>
        </w:rPr>
        <w:t>Amounts included in receivables from and payables to broker-dealers and clearing organizations represent net variation margin on long and short futures contracts as well as amounts receivable or payable on interest rate swaps.</w:t>
      </w:r>
    </w:p>
    <w:p>
      <w:pPr>
        <w:spacing w:after="0" w:line="173"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The following table summarizes the net gain (loss) from derivative instruments not designated as hedging instruments under ASC 815, which are recorded in total revenues, and from those designated as hedging instruments under ASC 815, which are initially recorded in other comprehensive income in the accompanying Condensed Consolidated Statements of Comprehensive Income for the three months ended March 31, 2022, and 2021.</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164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2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Statements Location</w:t>
            </w: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980" w:type="dxa"/>
            <w:vAlign w:val="bottom"/>
            <w:gridSpan w:val="2"/>
            <w:vMerge w:val="continue"/>
          </w:tcPr>
          <w:p>
            <w:pPr>
              <w:spacing w:after="0"/>
              <w:rPr>
                <w:sz w:val="15"/>
                <w:szCs w:val="15"/>
                <w:color w:val="auto"/>
              </w:rPr>
            </w:pPr>
          </w:p>
        </w:tc>
        <w:tc>
          <w:tcPr>
            <w:tcW w:w="24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32"/>
        </w:trPr>
        <w:tc>
          <w:tcPr>
            <w:tcW w:w="2860" w:type="dxa"/>
            <w:vAlign w:val="bottom"/>
            <w:tcBorders>
              <w:top w:val="single" w:sz="8" w:color="auto"/>
            </w:tcBorders>
            <w:shd w:val="clear" w:color="auto" w:fill="CCEEFF"/>
          </w:tcPr>
          <w:p>
            <w:pPr>
              <w:ind w:left="20"/>
              <w:spacing w:after="0" w:line="132" w:lineRule="exact"/>
              <w:rPr>
                <w:sz w:val="20"/>
                <w:szCs w:val="20"/>
                <w:color w:val="auto"/>
              </w:rPr>
            </w:pPr>
            <w:r>
              <w:rPr>
                <w:rFonts w:ascii="Times New Roman" w:cs="Times New Roman" w:eastAsia="Times New Roman" w:hAnsi="Times New Roman"/>
                <w:sz w:val="14"/>
                <w:szCs w:val="14"/>
                <w:b w:val="1"/>
                <w:bCs w:val="1"/>
                <w:color w:val="auto"/>
              </w:rPr>
              <w:t>Derivative instruments not designated as</w:t>
            </w:r>
          </w:p>
        </w:tc>
        <w:tc>
          <w:tcPr>
            <w:tcW w:w="120" w:type="dxa"/>
            <w:vAlign w:val="bottom"/>
            <w:tcBorders>
              <w:top w:val="single" w:sz="8" w:color="CCEEFF"/>
            </w:tcBorders>
            <w:shd w:val="clear" w:color="auto" w:fill="CCEEFF"/>
          </w:tcPr>
          <w:p>
            <w:pPr>
              <w:spacing w:after="0"/>
              <w:rPr>
                <w:sz w:val="11"/>
                <w:szCs w:val="11"/>
                <w:color w:val="auto"/>
              </w:rPr>
            </w:pPr>
          </w:p>
        </w:tc>
        <w:tc>
          <w:tcPr>
            <w:tcW w:w="23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2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Futures</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77,346</w:t>
            </w:r>
          </w:p>
        </w:tc>
        <w:tc>
          <w:tcPr>
            <w:tcW w:w="12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47,222</w:t>
            </w:r>
          </w:p>
        </w:tc>
        <w:tc>
          <w:tcPr>
            <w:tcW w:w="0" w:type="dxa"/>
            <w:vAlign w:val="bottom"/>
          </w:tcPr>
          <w:p>
            <w:pPr>
              <w:spacing w:after="0"/>
              <w:rPr>
                <w:sz w:val="1"/>
                <w:szCs w:val="1"/>
                <w:color w:val="auto"/>
              </w:rPr>
            </w:pPr>
          </w:p>
        </w:tc>
      </w:tr>
      <w:tr>
        <w:trPr>
          <w:trHeight w:val="204"/>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forwards</w:t>
            </w: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109,389</w:t>
            </w:r>
          </w:p>
        </w:tc>
        <w:tc>
          <w:tcPr>
            <w:tcW w:w="0" w:type="dxa"/>
            <w:vAlign w:val="bottom"/>
          </w:tcPr>
          <w:p>
            <w:pPr>
              <w:spacing w:after="0"/>
              <w:rPr>
                <w:sz w:val="1"/>
                <w:szCs w:val="1"/>
                <w:color w:val="auto"/>
              </w:rPr>
            </w:pPr>
          </w:p>
        </w:tc>
      </w:tr>
      <w:tr>
        <w:trPr>
          <w:trHeight w:val="189"/>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48,736</w:t>
            </w:r>
          </w:p>
        </w:tc>
        <w:tc>
          <w:tcPr>
            <w:tcW w:w="0" w:type="dxa"/>
            <w:vAlign w:val="bottom"/>
          </w:tcPr>
          <w:p>
            <w:pPr>
              <w:spacing w:after="0"/>
              <w:rPr>
                <w:sz w:val="1"/>
                <w:szCs w:val="1"/>
                <w:color w:val="auto"/>
              </w:rPr>
            </w:pPr>
          </w:p>
        </w:tc>
      </w:tr>
      <w:tr>
        <w:trPr>
          <w:trHeight w:val="197"/>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 on term loan</w:t>
            </w: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0" w:type="dxa"/>
            <w:vAlign w:val="bottom"/>
          </w:tcPr>
          <w:p>
            <w:pPr>
              <w:spacing w:after="0"/>
              <w:rPr>
                <w:sz w:val="1"/>
                <w:szCs w:val="1"/>
                <w:color w:val="auto"/>
              </w:rPr>
            </w:pPr>
          </w:p>
        </w:tc>
      </w:tr>
      <w:tr>
        <w:trPr>
          <w:trHeight w:val="190"/>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84,698</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204,875</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8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Derivative instruments designated as hedging</w:t>
            </w: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 (1)</w:t>
            </w: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56,145</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25,826</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56,145</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25,826</w:t>
            </w: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firstLine="5"/>
        <w:spacing w:after="0" w:line="299" w:lineRule="auto"/>
        <w:tabs>
          <w:tab w:leader="none" w:pos="198"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entered into a five-year $1,000 million floating-to-fixed interest rate swap agreement in the first quarter of 2020 and a five-year $525 million floating-to-fixed interest rate swap agreement in the fourth quarter of 2019. These two interest rate swaps met the criteria to be considered qualifying cash flow hedges under ASC 815 in the first quarter of 2020, and as such, the mark-to-market gains (losses) on the instruments were deferred within Other comprehensive income on the Condensed Consolidated Statements of Comprehensive Income beginning in the first quarter of 2020.</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Variable Interest Entities</w:t>
      </w:r>
    </w:p>
    <w:p>
      <w:pPr>
        <w:spacing w:after="0" w:line="34" w:lineRule="exact"/>
        <w:rPr>
          <w:sz w:val="20"/>
          <w:szCs w:val="20"/>
          <w:color w:val="auto"/>
        </w:rPr>
      </w:pPr>
    </w:p>
    <w:p>
      <w:pPr>
        <w:jc w:val="both"/>
        <w:ind w:right="160" w:firstLine="629"/>
        <w:spacing w:after="0" w:line="265" w:lineRule="auto"/>
        <w:rPr>
          <w:sz w:val="20"/>
          <w:szCs w:val="20"/>
          <w:color w:val="auto"/>
        </w:rPr>
      </w:pPr>
      <w:r>
        <w:rPr>
          <w:rFonts w:ascii="Times New Roman" w:cs="Times New Roman" w:eastAsia="Times New Roman" w:hAnsi="Times New Roman"/>
          <w:sz w:val="17"/>
          <w:szCs w:val="17"/>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99" w:lineRule="exact"/>
        <w:rPr>
          <w:sz w:val="20"/>
          <w:szCs w:val="20"/>
          <w:color w:val="auto"/>
        </w:rPr>
      </w:pPr>
    </w:p>
    <w:p>
      <w:pPr>
        <w:ind w:right="80" w:firstLine="629"/>
        <w:spacing w:after="0" w:line="276" w:lineRule="auto"/>
        <w:rPr>
          <w:sz w:val="20"/>
          <w:szCs w:val="20"/>
          <w:color w:val="auto"/>
        </w:rPr>
      </w:pPr>
      <w:r>
        <w:rPr>
          <w:rFonts w:ascii="Times New Roman" w:cs="Times New Roman" w:eastAsia="Times New Roman" w:hAnsi="Times New Roman"/>
          <w:sz w:val="17"/>
          <w:szCs w:val="17"/>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190" w:lineRule="exact"/>
        <w:rPr>
          <w:sz w:val="20"/>
          <w:szCs w:val="20"/>
          <w:color w:val="auto"/>
        </w:rPr>
      </w:pPr>
    </w:p>
    <w:p>
      <w:pPr>
        <w:ind w:right="300" w:firstLine="629"/>
        <w:spacing w:after="0" w:line="270" w:lineRule="auto"/>
        <w:rPr>
          <w:sz w:val="20"/>
          <w:szCs w:val="20"/>
          <w:color w:val="auto"/>
        </w:rPr>
      </w:pPr>
      <w:r>
        <w:rPr>
          <w:rFonts w:ascii="Times New Roman" w:cs="Times New Roman" w:eastAsia="Times New Roman" w:hAnsi="Times New Roman"/>
          <w:sz w:val="17"/>
          <w:szCs w:val="17"/>
          <w:color w:val="auto"/>
        </w:rPr>
        <w:t>The Company has interests in two joint ventures (“JV”) that build and maintain microwave communication networks in the U.S., Europe, and Asia. The Company and its JV partners each pay monthly fees for the use of the microwave communication networks in connection with their respective trading activities, and the JVs may sell excess bandwidth that is not utilized by the JV members to third parties. As of March 31, 2022, the Company held noncontrolling interests of 10.0% and 50.0%, respectively, in these JVs.</w:t>
      </w:r>
    </w:p>
    <w:p>
      <w:pPr>
        <w:spacing w:after="0" w:line="194" w:lineRule="exact"/>
        <w:rPr>
          <w:sz w:val="20"/>
          <w:szCs w:val="20"/>
          <w:color w:val="auto"/>
        </w:rPr>
      </w:pPr>
    </w:p>
    <w:p>
      <w:pPr>
        <w:ind w:right="60" w:firstLine="629"/>
        <w:spacing w:after="0" w:line="296" w:lineRule="auto"/>
        <w:rPr>
          <w:sz w:val="20"/>
          <w:szCs w:val="20"/>
          <w:color w:val="auto"/>
        </w:rPr>
      </w:pPr>
      <w:r>
        <w:rPr>
          <w:rFonts w:ascii="Times New Roman" w:cs="Times New Roman" w:eastAsia="Times New Roman" w:hAnsi="Times New Roman"/>
          <w:sz w:val="17"/>
          <w:szCs w:val="17"/>
          <w:color w:val="auto"/>
        </w:rPr>
        <w:t>The Company has an interest in a JV that offers derivatives trading technology and execution services to broker-dealers, professional traders and select hedge funds. As of March 31, 2022, the Company held approximately a 9.8% noncontrolling interest in this JV.</w:t>
      </w:r>
    </w:p>
    <w:p>
      <w:pPr>
        <w:spacing w:after="0" w:line="173" w:lineRule="exact"/>
        <w:rPr>
          <w:sz w:val="20"/>
          <w:szCs w:val="20"/>
          <w:color w:val="auto"/>
        </w:rPr>
      </w:pPr>
    </w:p>
    <w:p>
      <w:pPr>
        <w:ind w:right="80" w:firstLine="629"/>
        <w:spacing w:after="0" w:line="276" w:lineRule="auto"/>
        <w:rPr>
          <w:sz w:val="20"/>
          <w:szCs w:val="20"/>
          <w:color w:val="auto"/>
        </w:rPr>
      </w:pPr>
      <w:r>
        <w:rPr>
          <w:rFonts w:ascii="Times New Roman" w:cs="Times New Roman" w:eastAsia="Times New Roman" w:hAnsi="Times New Roman"/>
          <w:sz w:val="17"/>
          <w:szCs w:val="17"/>
          <w:color w:val="auto"/>
        </w:rPr>
        <w:t>The Company has an interest in a JV that operates a member-owned equities exchange with the goal of increasing competition and transparency, while reducing fixed costs and simplifying execution of equity trading in the U.S. As of March 31, 2022, the Company held approximately a 15.0% noncontrolling interest in this JV.</w:t>
      </w:r>
    </w:p>
    <w:p>
      <w:pPr>
        <w:spacing w:after="0" w:line="190" w:lineRule="exact"/>
        <w:rPr>
          <w:sz w:val="20"/>
          <w:szCs w:val="20"/>
          <w:color w:val="auto"/>
        </w:rPr>
      </w:pPr>
    </w:p>
    <w:p>
      <w:pPr>
        <w:ind w:right="100" w:firstLine="629"/>
        <w:spacing w:after="0" w:line="267" w:lineRule="auto"/>
        <w:rPr>
          <w:sz w:val="20"/>
          <w:szCs w:val="20"/>
          <w:color w:val="auto"/>
        </w:rPr>
      </w:pPr>
      <w:r>
        <w:rPr>
          <w:rFonts w:ascii="Times New Roman" w:cs="Times New Roman" w:eastAsia="Times New Roman" w:hAnsi="Times New Roman"/>
          <w:sz w:val="17"/>
          <w:szCs w:val="17"/>
          <w:color w:val="auto"/>
        </w:rPr>
        <w:t>The Company's four JVs meet the criteria to be considered VIEs, which it does not consolidate. The Company records its interest in each JV under the equity method of accounting and records its investment in the JVs within Other assets and its amounts payable for communication services provided by the applicable JVs within Accounts payable, accrued expenses and other liabilities on the Statements of Financial Condition. The Company records its pro-rata share of each JV's earnings or losses within Other, net and fees related to the use of communication services provided by the JVs within Communications and data processing on the Condensed Consolidated Statements of Comprehensive Income.</w:t>
      </w:r>
    </w:p>
    <w:p>
      <w:pPr>
        <w:spacing w:after="0" w:line="196" w:lineRule="exact"/>
        <w:rPr>
          <w:sz w:val="20"/>
          <w:szCs w:val="20"/>
          <w:color w:val="auto"/>
        </w:rPr>
      </w:pPr>
    </w:p>
    <w:p>
      <w:pPr>
        <w:ind w:right="240" w:firstLine="629"/>
        <w:spacing w:after="0" w:line="296" w:lineRule="auto"/>
        <w:rPr>
          <w:sz w:val="20"/>
          <w:szCs w:val="20"/>
          <w:color w:val="auto"/>
        </w:rPr>
      </w:pPr>
      <w:r>
        <w:rPr>
          <w:rFonts w:ascii="Times New Roman" w:cs="Times New Roman" w:eastAsia="Times New Roman" w:hAnsi="Times New Roman"/>
          <w:sz w:val="17"/>
          <w:szCs w:val="17"/>
          <w:color w:val="auto"/>
        </w:rPr>
        <w:t>The Company’s exposure to the obligations of these VIEs is generally limited to its interests in each respective JV, which is the carrying value of the equity investment in each JV.</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Company’s nonconsolidated VIEs at March 31, 2022: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8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Maximum Exposure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Asset</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VIEs' assets</w:t>
            </w:r>
          </w:p>
        </w:tc>
        <w:tc>
          <w:tcPr>
            <w:tcW w:w="0" w:type="dxa"/>
            <w:vAlign w:val="bottom"/>
          </w:tcPr>
          <w:p>
            <w:pPr>
              <w:spacing w:after="0"/>
              <w:rPr>
                <w:sz w:val="1"/>
                <w:szCs w:val="1"/>
                <w:color w:val="auto"/>
              </w:rPr>
            </w:pPr>
          </w:p>
        </w:tc>
      </w:tr>
      <w:tr>
        <w:trPr>
          <w:trHeight w:val="190"/>
        </w:trPr>
        <w:tc>
          <w:tcPr>
            <w:tcW w:w="4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36,080</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36,080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175,168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Company’s nonconsolidated VIEs at December 31, 2021:</w:t>
      </w:r>
    </w:p>
    <w:p>
      <w:pPr>
        <w:spacing w:after="0" w:line="34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8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Maximum Exposure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3"/>
                <w:szCs w:val="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Asset</w:t>
            </w: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VIEs' assets</w:t>
            </w:r>
          </w:p>
        </w:tc>
        <w:tc>
          <w:tcPr>
            <w:tcW w:w="0" w:type="dxa"/>
            <w:vAlign w:val="bottom"/>
          </w:tcPr>
          <w:p>
            <w:pPr>
              <w:spacing w:after="0"/>
              <w:rPr>
                <w:sz w:val="1"/>
                <w:szCs w:val="1"/>
                <w:color w:val="auto"/>
              </w:rPr>
            </w:pPr>
          </w:p>
        </w:tc>
      </w:tr>
      <w:tr>
        <w:trPr>
          <w:trHeight w:val="190"/>
        </w:trPr>
        <w:tc>
          <w:tcPr>
            <w:tcW w:w="4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38,319</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38,319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136,378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Revenues from Contracts with Customers</w:t>
      </w:r>
    </w:p>
    <w:p>
      <w:pPr>
        <w:spacing w:after="0" w:line="252"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For more information on revenue recognition and the nature of services provided, see Note 2 "Summary of Significant Accounting Policies" and Note 14 "Revenues from Contracts with Customers" to the Consolidated Financial Statements of the Company's 2021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Disaggregation of Revenues</w:t>
      </w:r>
    </w:p>
    <w:p>
      <w:pPr>
        <w:spacing w:after="0" w:line="252" w:lineRule="exact"/>
        <w:rPr>
          <w:sz w:val="20"/>
          <w:szCs w:val="20"/>
          <w:color w:val="auto"/>
        </w:rPr>
      </w:pPr>
    </w:p>
    <w:p>
      <w:pPr>
        <w:ind w:right="44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tables present the Company’s revenue from contracts with customers disaggregated by service, by timing of revenue recognition, reconciled to the Company’s segments, for the three months ended March 31, 2022, and 2021:</w:t>
      </w:r>
    </w:p>
    <w:p>
      <w:pPr>
        <w:spacing w:after="0" w:line="200" w:lineRule="exact"/>
        <w:rPr>
          <w:sz w:val="20"/>
          <w:szCs w:val="20"/>
          <w:color w:val="auto"/>
        </w:rPr>
      </w:pPr>
    </w:p>
    <w:p>
      <w:pPr>
        <w:spacing w:after="0" w:line="202" w:lineRule="exact"/>
        <w:rPr>
          <w:sz w:val="20"/>
          <w:szCs w:val="20"/>
          <w:color w:val="auto"/>
        </w:rPr>
      </w:pPr>
    </w:p>
    <w:tbl>
      <w:tblPr>
        <w:tblLayout w:type="fixed"/>
        <w:tblInd w:w="68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8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2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Pr>
          <w:p>
            <w:pPr>
              <w:spacing w:after="0"/>
              <w:rPr>
                <w:sz w:val="15"/>
                <w:szCs w:val="15"/>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9,048</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108,668</w:t>
            </w:r>
          </w:p>
        </w:tc>
        <w:tc>
          <w:tcPr>
            <w:tcW w:w="12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117,716</w:t>
            </w:r>
          </w:p>
        </w:tc>
        <w:tc>
          <w:tcPr>
            <w:tcW w:w="0" w:type="dxa"/>
            <w:vAlign w:val="bottom"/>
          </w:tcPr>
          <w:p>
            <w:pPr>
              <w:spacing w:after="0"/>
              <w:rPr>
                <w:sz w:val="1"/>
                <w:szCs w:val="1"/>
                <w:color w:val="auto"/>
              </w:rPr>
            </w:pPr>
          </w:p>
        </w:tc>
      </w:tr>
      <w:tr>
        <w:trPr>
          <w:trHeight w:val="204"/>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26,445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26,445</w:t>
            </w:r>
          </w:p>
        </w:tc>
        <w:tc>
          <w:tcPr>
            <w:tcW w:w="0" w:type="dxa"/>
            <w:vAlign w:val="bottom"/>
          </w:tcPr>
          <w:p>
            <w:pPr>
              <w:spacing w:after="0"/>
              <w:rPr>
                <w:sz w:val="1"/>
                <w:szCs w:val="1"/>
                <w:color w:val="auto"/>
              </w:rPr>
            </w:pPr>
          </w:p>
        </w:tc>
      </w:tr>
      <w:tr>
        <w:trPr>
          <w:trHeight w:val="19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10,494</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9,048</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145,607</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154,655</w:t>
            </w:r>
          </w:p>
        </w:tc>
        <w:tc>
          <w:tcPr>
            <w:tcW w:w="0" w:type="dxa"/>
            <w:vAlign w:val="bottom"/>
          </w:tcPr>
          <w:p>
            <w:pPr>
              <w:spacing w:after="0"/>
              <w:rPr>
                <w:sz w:val="1"/>
                <w:szCs w:val="1"/>
                <w:color w:val="auto"/>
              </w:rPr>
            </w:pPr>
          </w:p>
        </w:tc>
      </w:tr>
      <w:tr>
        <w:trPr>
          <w:trHeight w:val="262"/>
        </w:trPr>
        <w:tc>
          <w:tcPr>
            <w:tcW w:w="4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537,513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546,607</w:t>
            </w: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546,561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151,745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701,262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546,561</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133,301</w:t>
            </w:r>
          </w:p>
        </w:tc>
        <w:tc>
          <w:tcPr>
            <w:tcW w:w="12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2,956</w:t>
            </w:r>
          </w:p>
        </w:tc>
        <w:tc>
          <w:tcPr>
            <w:tcW w:w="10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682,818</w:t>
            </w:r>
          </w:p>
        </w:tc>
        <w:tc>
          <w:tcPr>
            <w:tcW w:w="0" w:type="dxa"/>
            <w:vAlign w:val="bottom"/>
          </w:tcPr>
          <w:p>
            <w:pPr>
              <w:spacing w:after="0"/>
              <w:rPr>
                <w:sz w:val="1"/>
                <w:szCs w:val="1"/>
                <w:color w:val="auto"/>
              </w:rPr>
            </w:pPr>
          </w:p>
        </w:tc>
      </w:tr>
      <w:tr>
        <w:trPr>
          <w:trHeight w:val="197"/>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18,444</w:t>
            </w:r>
          </w:p>
        </w:tc>
        <w:tc>
          <w:tcPr>
            <w:tcW w:w="0" w:type="dxa"/>
            <w:vAlign w:val="bottom"/>
          </w:tcPr>
          <w:p>
            <w:pPr>
              <w:spacing w:after="0"/>
              <w:rPr>
                <w:sz w:val="1"/>
                <w:szCs w:val="1"/>
                <w:color w:val="auto"/>
              </w:rPr>
            </w:pPr>
          </w:p>
        </w:tc>
      </w:tr>
      <w:tr>
        <w:trPr>
          <w:trHeight w:val="196"/>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546,561</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151,745</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2,956</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701,262</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68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8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2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Pr>
          <w:p>
            <w:pPr>
              <w:spacing w:after="0"/>
              <w:rPr>
                <w:sz w:val="15"/>
                <w:szCs w:val="15"/>
                <w:color w:val="auto"/>
              </w:rPr>
            </w:pP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14,130</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140,450</w:t>
            </w:r>
          </w:p>
        </w:tc>
        <w:tc>
          <w:tcPr>
            <w:tcW w:w="12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154,580</w:t>
            </w:r>
          </w:p>
        </w:tc>
        <w:tc>
          <w:tcPr>
            <w:tcW w:w="0" w:type="dxa"/>
            <w:vAlign w:val="bottom"/>
          </w:tcPr>
          <w:p>
            <w:pPr>
              <w:spacing w:after="0"/>
              <w:rPr>
                <w:sz w:val="1"/>
                <w:szCs w:val="1"/>
                <w:color w:val="auto"/>
              </w:rPr>
            </w:pPr>
          </w:p>
        </w:tc>
      </w:tr>
      <w:tr>
        <w:trPr>
          <w:trHeight w:val="204"/>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26,573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26,573</w:t>
            </w:r>
          </w:p>
        </w:tc>
        <w:tc>
          <w:tcPr>
            <w:tcW w:w="0" w:type="dxa"/>
            <w:vAlign w:val="bottom"/>
          </w:tcPr>
          <w:p>
            <w:pPr>
              <w:spacing w:after="0"/>
              <w:rPr>
                <w:sz w:val="1"/>
                <w:szCs w:val="1"/>
                <w:color w:val="auto"/>
              </w:rPr>
            </w:pPr>
          </w:p>
        </w:tc>
      </w:tr>
      <w:tr>
        <w:trPr>
          <w:trHeight w:val="190"/>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10,496</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177,519</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191,649</w:t>
            </w:r>
          </w:p>
        </w:tc>
        <w:tc>
          <w:tcPr>
            <w:tcW w:w="0" w:type="dxa"/>
            <w:vAlign w:val="bottom"/>
          </w:tcPr>
          <w:p>
            <w:pPr>
              <w:spacing w:after="0"/>
              <w:rPr>
                <w:sz w:val="1"/>
                <w:szCs w:val="1"/>
                <w:color w:val="auto"/>
              </w:rPr>
            </w:pPr>
          </w:p>
        </w:tc>
      </w:tr>
      <w:tr>
        <w:trPr>
          <w:trHeight w:val="262"/>
        </w:trPr>
        <w:tc>
          <w:tcPr>
            <w:tcW w:w="4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809,594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820,923</w:t>
            </w: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1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823,724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189,239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1,012,572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823,724</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170,538</w:t>
            </w:r>
          </w:p>
        </w:tc>
        <w:tc>
          <w:tcPr>
            <w:tcW w:w="12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993,871</w:t>
            </w:r>
          </w:p>
        </w:tc>
        <w:tc>
          <w:tcPr>
            <w:tcW w:w="0" w:type="dxa"/>
            <w:vAlign w:val="bottom"/>
          </w:tcPr>
          <w:p>
            <w:pPr>
              <w:spacing w:after="0"/>
              <w:rPr>
                <w:sz w:val="1"/>
                <w:szCs w:val="1"/>
                <w:color w:val="auto"/>
              </w:rPr>
            </w:pPr>
          </w:p>
        </w:tc>
      </w:tr>
      <w:tr>
        <w:trPr>
          <w:trHeight w:val="197"/>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18,701</w:t>
            </w:r>
          </w:p>
        </w:tc>
        <w:tc>
          <w:tcPr>
            <w:tcW w:w="0" w:type="dxa"/>
            <w:vAlign w:val="bottom"/>
          </w:tcPr>
          <w:p>
            <w:pPr>
              <w:spacing w:after="0"/>
              <w:rPr>
                <w:sz w:val="1"/>
                <w:szCs w:val="1"/>
                <w:color w:val="auto"/>
              </w:rPr>
            </w:pPr>
          </w:p>
        </w:tc>
      </w:tr>
      <w:tr>
        <w:trPr>
          <w:trHeight w:val="196"/>
        </w:trPr>
        <w:tc>
          <w:tcPr>
            <w:tcW w:w="41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823,724</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189,239</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1,012,572</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Remaining Performance Obligations and Revenue Recognized from Past Performance Obligations</w:t>
      </w:r>
    </w:p>
    <w:p>
      <w:pPr>
        <w:spacing w:after="0" w:line="252" w:lineRule="exact"/>
        <w:rPr>
          <w:sz w:val="20"/>
          <w:szCs w:val="20"/>
          <w:color w:val="auto"/>
        </w:rPr>
      </w:pPr>
    </w:p>
    <w:p>
      <w:pPr>
        <w:ind w:right="780" w:firstLine="629"/>
        <w:spacing w:after="0" w:line="296" w:lineRule="auto"/>
        <w:rPr>
          <w:sz w:val="20"/>
          <w:szCs w:val="20"/>
          <w:color w:val="auto"/>
        </w:rPr>
      </w:pPr>
      <w:r>
        <w:rPr>
          <w:rFonts w:ascii="Times New Roman" w:cs="Times New Roman" w:eastAsia="Times New Roman" w:hAnsi="Times New Roman"/>
          <w:sz w:val="17"/>
          <w:szCs w:val="17"/>
          <w:color w:val="auto"/>
        </w:rPr>
        <w:t>As of March 31, 2022 and 2021, the aggregate amount of the transaction price allocated to the performance obligations relating to workflow technology and analytics revenues that are unsatisfied (or partially unsatisfied) was not material.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Assets and Contract Liabilities</w:t>
      </w:r>
    </w:p>
    <w:p>
      <w:pPr>
        <w:spacing w:after="0" w:line="252"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w:t>
      </w:r>
    </w:p>
    <w:p>
      <w:pPr>
        <w:spacing w:after="0" w:line="190" w:lineRule="exact"/>
        <w:rPr>
          <w:sz w:val="20"/>
          <w:szCs w:val="20"/>
          <w:color w:val="auto"/>
        </w:rPr>
      </w:pPr>
    </w:p>
    <w:p>
      <w:pPr>
        <w:ind w:right="200" w:firstLine="629"/>
        <w:spacing w:after="0" w:line="296" w:lineRule="auto"/>
        <w:rPr>
          <w:sz w:val="20"/>
          <w:szCs w:val="20"/>
          <w:color w:val="auto"/>
        </w:rPr>
      </w:pPr>
      <w:r>
        <w:rPr>
          <w:rFonts w:ascii="Times New Roman" w:cs="Times New Roman" w:eastAsia="Times New Roman" w:hAnsi="Times New Roman"/>
          <w:sz w:val="17"/>
          <w:szCs w:val="17"/>
          <w:color w:val="auto"/>
        </w:rPr>
        <w:t>Receivables related to revenues from contracts with customers amounted to $56.8 million and $51.5 million as of March 31, 2022 and December 31, 2021, respectively. The Company did not identify any contract assets. There were no impairment losses on receivables as of March 31, 2022.</w:t>
      </w:r>
    </w:p>
    <w:p>
      <w:pPr>
        <w:spacing w:after="0" w:line="173" w:lineRule="exact"/>
        <w:rPr>
          <w:sz w:val="20"/>
          <w:szCs w:val="20"/>
          <w:color w:val="auto"/>
        </w:rPr>
      </w:pPr>
    </w:p>
    <w:p>
      <w:pPr>
        <w:ind w:right="160" w:firstLine="629"/>
        <w:spacing w:after="0" w:line="270" w:lineRule="auto"/>
        <w:rPr>
          <w:sz w:val="20"/>
          <w:szCs w:val="20"/>
          <w:color w:val="auto"/>
        </w:rPr>
      </w:pPr>
      <w:r>
        <w:rPr>
          <w:rFonts w:ascii="Times New Roman" w:cs="Times New Roman" w:eastAsia="Times New Roman" w:hAnsi="Times New Roman"/>
          <w:sz w:val="17"/>
          <w:szCs w:val="17"/>
          <w:color w:val="auto"/>
        </w:rPr>
        <w:t>Deferred revenue primarily relates to deferred commissions allocated to analytics products and subscription fees billed in advance of satisfying the performance obligations. Deferred revenue related to contracts with customers was $11.0 million and $9.2 million as of March 31, 2022 and December 31, 2021, respectively. The Company recognized revenue of $7.5 million and $7.9 million during the three months ended March 31, 2022 and 2021, that had been recorded as deferred revenue in the respective prior year.</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has not identified any costs to obtain or fulfill its contracts under ASC 606.</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Income Taxes</w:t>
      </w:r>
    </w:p>
    <w:p>
      <w:pPr>
        <w:spacing w:after="0" w:line="252" w:lineRule="exact"/>
        <w:rPr>
          <w:sz w:val="20"/>
          <w:szCs w:val="20"/>
          <w:color w:val="auto"/>
        </w:rPr>
      </w:pPr>
    </w:p>
    <w:p>
      <w:pPr>
        <w:jc w:val="both"/>
        <w:ind w:right="60" w:firstLine="629"/>
        <w:spacing w:after="0" w:line="263" w:lineRule="auto"/>
        <w:rPr>
          <w:sz w:val="20"/>
          <w:szCs w:val="20"/>
          <w:color w:val="auto"/>
        </w:rPr>
      </w:pPr>
      <w:r>
        <w:rPr>
          <w:rFonts w:ascii="Times New Roman" w:cs="Times New Roman" w:eastAsia="Times New Roman" w:hAnsi="Times New Roman"/>
          <w:sz w:val="17"/>
          <w:szCs w:val="17"/>
          <w:color w:val="auto"/>
        </w:rPr>
        <w:t>The Company is subject to U.S. federal, state and local income tax at the rate applicable to corporations less the rate attributable to the noncontrolling interest in Virtu Financial. These noncontrolling interests are subject to U.S. taxation as partnerships. Accordingly, for the three months ended March 31, 2022 and 2021, the income attributable to these noncontrolling interests was reported in the Condensed Consolidated Statements of Comprehensive Income, but the related U.S. income tax expense attributable to these noncontrolling interests was not reported by the Company as it is the obligation of the individual partners. The Company’s provisions for income taxes and effective tax rates were $41.8 million, 17.3%, and $80.6 million, 16.4% for the three months ended March 31, 2022 and 2021, respectively. Income tax expense is also affected by the differing effective tax rates in foreign, state and local jurisdictions where certain of the Company’s subsidiaries are subject to corporate taxation.</w:t>
      </w:r>
    </w:p>
    <w:p>
      <w:pPr>
        <w:spacing w:after="0" w:line="203" w:lineRule="exact"/>
        <w:rPr>
          <w:sz w:val="20"/>
          <w:szCs w:val="20"/>
          <w:color w:val="auto"/>
        </w:rPr>
      </w:pPr>
    </w:p>
    <w:p>
      <w:pPr>
        <w:ind w:right="140" w:firstLine="629"/>
        <w:spacing w:after="0" w:line="265" w:lineRule="auto"/>
        <w:rPr>
          <w:sz w:val="20"/>
          <w:szCs w:val="20"/>
          <w:color w:val="auto"/>
        </w:rPr>
      </w:pPr>
      <w:r>
        <w:rPr>
          <w:rFonts w:ascii="Times New Roman" w:cs="Times New Roman" w:eastAsia="Times New Roman" w:hAnsi="Times New Roman"/>
          <w:sz w:val="17"/>
          <w:szCs w:val="17"/>
          <w:color w:val="auto"/>
        </w:rPr>
        <w:t>Included in Other assets on the Condensed Consolidated Statements of Financial Condition at March 31, 2022 and December 31, 2021 are current income tax receivables of $12.7 million and $37.2 million, respectively. The balances at March 31, 2022 and December 31, 2021 primarily comprised income tax benefits due to the Company from federal, state, local, and foreign tax jurisdictions based on income before taxes. Included in Accounts payable, accrued expenses and other liabilities on the Condensed Consolidated Statements of Financial Condition at March 31, 2022 and December 31, 2021 are current tax liabilities of $14.4 million and $16.8 million, respectively. The balances at March 31, 2022 and December 31, 2021 primarily comprise income taxes owed to federal, state and local, and foreign tax jurisdictions based on income before taxes.</w:t>
      </w:r>
    </w:p>
    <w:p>
      <w:pPr>
        <w:spacing w:after="0" w:line="198" w:lineRule="exact"/>
        <w:rPr>
          <w:sz w:val="20"/>
          <w:szCs w:val="20"/>
          <w:color w:val="auto"/>
        </w:rPr>
      </w:pPr>
    </w:p>
    <w:p>
      <w:pPr>
        <w:ind w:right="100" w:firstLine="629"/>
        <w:spacing w:after="0" w:line="276" w:lineRule="auto"/>
        <w:rPr>
          <w:sz w:val="20"/>
          <w:szCs w:val="20"/>
          <w:color w:val="auto"/>
        </w:rPr>
      </w:pPr>
      <w:r>
        <w:rPr>
          <w:rFonts w:ascii="Times New Roman" w:cs="Times New Roman" w:eastAsia="Times New Roman" w:hAnsi="Times New Roman"/>
          <w:sz w:val="17"/>
          <w:szCs w:val="17"/>
          <w:color w:val="auto"/>
        </w:rPr>
        <w:t>Deferred income taxes arise primarily due to the amortization of the deferred tax assets recognized in connection with the IPO (see Note 4 "Tax Receivable Agreements"), the Acquisition of KCG and the ITG Acquisition, differences in the valuation of financial assets and liabilities, and other temporary differences arising from the deductibility of compensation, depreciation, and other expenses in different time periods for book and income tax return purposes.</w:t>
      </w:r>
    </w:p>
    <w:p>
      <w:pPr>
        <w:spacing w:after="0" w:line="190"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At March 31, 2022 and December 31, 2021, the Company did not have any U.S. federal net operating loss carryforwards and therefore the Company did not record a deferred tax asset related to federal net operating loss carryforwards. At March 31, 2022 and December 31, 2021, the Company recorded deferred income taxes related to state and local net operating losses of $0.4 million. These net operating losses will begin to expire in 2039. The Company did not record a valuation allowance against this deferred tax asset.</w:t>
      </w:r>
    </w:p>
    <w:p>
      <w:pPr>
        <w:spacing w:after="0" w:line="203" w:lineRule="exact"/>
        <w:rPr>
          <w:sz w:val="20"/>
          <w:szCs w:val="20"/>
          <w:color w:val="auto"/>
        </w:rPr>
      </w:pPr>
    </w:p>
    <w:p>
      <w:pPr>
        <w:ind w:right="40" w:firstLine="629"/>
        <w:spacing w:after="0" w:line="265" w:lineRule="auto"/>
        <w:rPr>
          <w:sz w:val="20"/>
          <w:szCs w:val="20"/>
          <w:color w:val="auto"/>
        </w:rPr>
      </w:pPr>
      <w:r>
        <w:rPr>
          <w:rFonts w:ascii="Times New Roman" w:cs="Times New Roman" w:eastAsia="Times New Roman" w:hAnsi="Times New Roman"/>
          <w:sz w:val="17"/>
          <w:szCs w:val="17"/>
          <w:color w:val="auto"/>
        </w:rPr>
        <w:t>As a result of the ITG Acquisition, the Company had non-U.S. net operating losses at March 31, 2022 and December 31, 2021 of $67.2 million and $67.2 million, respectively, and recorded a related deferred tax asset of $13.3 million and $13.4 million, respectively. A valuation allowance of $13.3 million was recorded against this deferred tax asset both at March 31, 2022 and December 31, 2021, as it is more likely than not that a substantial portion of this deferred tax asset will not be realized. As a result of the Acquisition of KCG, the Company had non-U.S. net operating losses at March 31, 2022 and December 31, 2021 of $239.3 million, and recorded a related deferred tax asset of $44.9 million in both years. A full valuation allowance was also recorded against this deferred tax asset at March 31, 2022 and December 31, 2021 as it is more likely than not that this deferred tax asset will not be realized.</w:t>
      </w:r>
    </w:p>
    <w:p>
      <w:pPr>
        <w:spacing w:after="0" w:line="198" w:lineRule="exact"/>
        <w:rPr>
          <w:sz w:val="20"/>
          <w:szCs w:val="20"/>
          <w:color w:val="auto"/>
        </w:rPr>
      </w:pPr>
    </w:p>
    <w:p>
      <w:pPr>
        <w:ind w:right="20" w:firstLine="629"/>
        <w:spacing w:after="0" w:line="296" w:lineRule="auto"/>
        <w:rPr>
          <w:sz w:val="20"/>
          <w:szCs w:val="20"/>
          <w:color w:val="auto"/>
        </w:rPr>
      </w:pPr>
      <w:r>
        <w:rPr>
          <w:rFonts w:ascii="Times New Roman" w:cs="Times New Roman" w:eastAsia="Times New Roman" w:hAnsi="Times New Roman"/>
          <w:sz w:val="17"/>
          <w:szCs w:val="17"/>
          <w:color w:val="auto"/>
        </w:rPr>
        <w:t>No valuation allowance against the remaining deferred taxes was recorded as of March 31, 2022 and December 31, 2021 because it is more likely than not that these deferred tax assets will be fully realized.</w:t>
      </w:r>
    </w:p>
    <w:p>
      <w:pPr>
        <w:spacing w:after="0" w:line="173"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Company is subject to taxation in U.S. federal, state, local and foreign jurisdictions. As of March 31, 2022, the Company’s tax years for 2015 through 2019 and 2016 through 2019 were subject to examination by U.S. and non-U.S. tax authorities, respectively. As a result of the ITG Acquisition and the Acquisition of KCG, the Company assumed any ITG and KCG tax exposures. In addition, the Company is subject to state and local income tax examinations in various jurisdictions for the tax years 2013 through 2019. The final outcome of these examinations is not yet determinable. However, the Company anticipates that adjustments related to these examinations, if any, will not result in a material change to its financial condition, results of operations and cash flows.</w:t>
      </w:r>
    </w:p>
    <w:p>
      <w:pPr>
        <w:spacing w:after="0" w:line="196" w:lineRule="exact"/>
        <w:rPr>
          <w:sz w:val="20"/>
          <w:szCs w:val="20"/>
          <w:color w:val="auto"/>
        </w:rPr>
      </w:pPr>
    </w:p>
    <w:p>
      <w:pPr>
        <w:ind w:right="240" w:firstLine="629"/>
        <w:spacing w:after="0" w:line="276" w:lineRule="auto"/>
        <w:rPr>
          <w:sz w:val="20"/>
          <w:szCs w:val="20"/>
          <w:color w:val="auto"/>
        </w:rPr>
      </w:pPr>
      <w:r>
        <w:rPr>
          <w:rFonts w:ascii="Times New Roman" w:cs="Times New Roman" w:eastAsia="Times New Roman" w:hAnsi="Times New Roman"/>
          <w:sz w:val="17"/>
          <w:szCs w:val="17"/>
          <w:color w:val="auto"/>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Condensed Consolidated Statements of Comprehensive Income, respectively.</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20" w:firstLine="629"/>
        <w:spacing w:after="0" w:line="276" w:lineRule="auto"/>
        <w:rPr>
          <w:sz w:val="20"/>
          <w:szCs w:val="20"/>
          <w:color w:val="auto"/>
        </w:rPr>
      </w:pPr>
      <w:r>
        <w:rPr>
          <w:rFonts w:ascii="Times New Roman" w:cs="Times New Roman" w:eastAsia="Times New Roman" w:hAnsi="Times New Roman"/>
          <w:sz w:val="17"/>
          <w:szCs w:val="17"/>
          <w:color w:val="auto"/>
        </w:rPr>
        <w:t>The Company had $6.3 million of unrecognized tax benefits as of March 31, 2022, all of which would affect the Company’s effective tax rate if recognized. The Company has determined that there are no uncertain tax positions that would have a material impact on the Company’s financial position as of March 31,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Commitments, Contingencies and Guarantees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254"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In the ordinary course of business, the nature of the Company’s business subjects it to claims, lawsuits, regulatory examinations or investigations and other proceedings. The Company and its subsidiaries are subject to several of these matters at the present time. 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In addition, there are numerous factors that result in a greater degree of complexity in class-action lawsuits as compared to other types of litigation. There can be no assurance that these legal proceedings will not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 for potential claims, including securities actions, against the Company and its respective directors and officers.</w:t>
      </w:r>
    </w:p>
    <w:p>
      <w:pPr>
        <w:spacing w:after="0" w:line="207" w:lineRule="exact"/>
        <w:rPr>
          <w:sz w:val="20"/>
          <w:szCs w:val="20"/>
          <w:color w:val="auto"/>
        </w:rPr>
      </w:pPr>
    </w:p>
    <w:p>
      <w:pPr>
        <w:ind w:right="40" w:firstLine="629"/>
        <w:spacing w:after="0" w:line="265" w:lineRule="auto"/>
        <w:rPr>
          <w:sz w:val="20"/>
          <w:szCs w:val="20"/>
          <w:color w:val="auto"/>
        </w:rPr>
      </w:pPr>
      <w:r>
        <w:rPr>
          <w:rFonts w:ascii="Times New Roman" w:cs="Times New Roman" w:eastAsia="Times New Roman" w:hAnsi="Times New Roman"/>
          <w:sz w:val="17"/>
          <w:szCs w:val="17"/>
          <w:color w:val="auto"/>
        </w:rPr>
        <w:t xml:space="preserve">On November 30, 2020, the Company was named as a defendant in </w:t>
      </w:r>
      <w:r>
        <w:rPr>
          <w:rFonts w:ascii="Times New Roman" w:cs="Times New Roman" w:eastAsia="Times New Roman" w:hAnsi="Times New Roman"/>
          <w:sz w:val="17"/>
          <w:szCs w:val="17"/>
          <w:i w:val="1"/>
          <w:iCs w:val="1"/>
          <w:color w:val="auto"/>
        </w:rPr>
        <w:t>In re United States Oil Fund, LP Securities Litigation</w:t>
      </w:r>
      <w:r>
        <w:rPr>
          <w:rFonts w:ascii="Times New Roman" w:cs="Times New Roman" w:eastAsia="Times New Roman" w:hAnsi="Times New Roman"/>
          <w:sz w:val="17"/>
          <w:szCs w:val="17"/>
          <w:color w:val="auto"/>
        </w:rPr>
        <w:t>, No. 20-cv-4740. The consolidated amended complaint was filed in federal district court in New York on behalf of a putative class, and asserts claims against the Company and numerous other financial institutions under Section 11 of the Securities Act of 1933 in connection with trading in United States Oil Fund, LP, a crude oil ETF. The complaint also names the ETF, its sponsor, and related individuals as defendants. The complaint did not specify the amount of alleged damages. Defendants moved to dismiss the consolidated amended complaint on January 29, 2021 and plaintiffs subsequently filed their opposition to the motion on March 30, 2021. The Company believes that the claims are without merit and is defending itself vigorously.</w:t>
      </w:r>
    </w:p>
    <w:p>
      <w:pPr>
        <w:spacing w:after="0" w:line="185" w:lineRule="exact"/>
        <w:rPr>
          <w:sz w:val="20"/>
          <w:szCs w:val="20"/>
          <w:color w:val="auto"/>
        </w:rPr>
      </w:pPr>
    </w:p>
    <w:p>
      <w:pPr>
        <w:ind w:right="40" w:firstLine="629"/>
        <w:spacing w:after="0" w:line="249" w:lineRule="auto"/>
        <w:rPr>
          <w:sz w:val="20"/>
          <w:szCs w:val="20"/>
          <w:color w:val="auto"/>
        </w:rPr>
      </w:pPr>
      <w:r>
        <w:rPr>
          <w:rFonts w:ascii="Times New Roman" w:cs="Times New Roman" w:eastAsia="Times New Roman" w:hAnsi="Times New Roman"/>
          <w:sz w:val="17"/>
          <w:szCs w:val="17"/>
          <w:color w:val="auto"/>
        </w:rPr>
        <w:t xml:space="preserve">On August 31, 2021, the Company was named as a defendant in </w:t>
      </w:r>
      <w:r>
        <w:rPr>
          <w:rFonts w:ascii="Times New Roman" w:cs="Times New Roman" w:eastAsia="Times New Roman" w:hAnsi="Times New Roman"/>
          <w:sz w:val="17"/>
          <w:szCs w:val="17"/>
          <w:i w:val="1"/>
          <w:iCs w:val="1"/>
          <w:color w:val="auto"/>
        </w:rPr>
        <w:t>Alers v. Robinhood Financial, LLC et al</w:t>
      </w:r>
      <w:r>
        <w:rPr>
          <w:rFonts w:ascii="Times New Roman" w:cs="Times New Roman" w:eastAsia="Times New Roman" w:hAnsi="Times New Roman"/>
          <w:sz w:val="17"/>
          <w:szCs w:val="17"/>
          <w:color w:val="auto"/>
        </w:rPr>
        <w:t xml:space="preserve"> No. 21-cv-61848. The complaint was filed in federal district court in Florida on behalf of a putative class, and asserts claims against the Company and numerous other financial institutions alleging a breach of fiduciary duty by Robinhood and aiding and abetting thereof by the Company and other market making firms. The complaint did not specify the amount of alleged damages. On December 31, 2021, plaintiffs filed an amended complaint, after which, on January 21, 2022, Robinhood and the market-maker defendants moved to transfer the case to the Northern District of California, or in the alternative, to dismiss the amended complaint. The Company believes that the claims are without merit and is defending itself vigorously.</w:t>
      </w:r>
    </w:p>
    <w:p>
      <w:pPr>
        <w:spacing w:after="0" w:line="211" w:lineRule="exact"/>
        <w:rPr>
          <w:sz w:val="20"/>
          <w:szCs w:val="20"/>
          <w:color w:val="auto"/>
        </w:rPr>
      </w:pPr>
    </w:p>
    <w:p>
      <w:pPr>
        <w:ind w:right="40" w:firstLine="629"/>
        <w:spacing w:after="0" w:line="265" w:lineRule="auto"/>
        <w:rPr>
          <w:sz w:val="20"/>
          <w:szCs w:val="20"/>
          <w:color w:val="auto"/>
        </w:rPr>
      </w:pPr>
      <w:r>
        <w:rPr>
          <w:rFonts w:ascii="Times New Roman" w:cs="Times New Roman" w:eastAsia="Times New Roman" w:hAnsi="Times New Roman"/>
          <w:sz w:val="17"/>
          <w:szCs w:val="17"/>
          <w:color w:val="auto"/>
        </w:rPr>
        <w:t xml:space="preserve">On March 7, 2022, the Company was named as a defendant in </w:t>
      </w:r>
      <w:r>
        <w:rPr>
          <w:rFonts w:ascii="Times New Roman" w:cs="Times New Roman" w:eastAsia="Times New Roman" w:hAnsi="Times New Roman"/>
          <w:sz w:val="17"/>
          <w:szCs w:val="17"/>
          <w:i w:val="1"/>
          <w:iCs w:val="1"/>
          <w:color w:val="auto"/>
        </w:rPr>
        <w:t>Iron Workers Local No. 55 Pension Fund v. Virtu Financial, Inc.</w:t>
      </w:r>
      <w:r>
        <w:rPr>
          <w:rFonts w:ascii="Times New Roman" w:cs="Times New Roman" w:eastAsia="Times New Roman" w:hAnsi="Times New Roman"/>
          <w:sz w:val="17"/>
          <w:szCs w:val="17"/>
          <w:color w:val="auto"/>
        </w:rPr>
        <w:t>, No. 2022-0211-PAF pending in the Court of Chancery of the State of Delaware. The complaint, filed by a purported stockholder, seeks to compel the inspection of certain Company books and records pursuant to Section 220 of the Delaware General Corporation Law. The complaint alleges that the stockholder seeks Company information to investigate (a) whether wrongdoing or mismanagement occurred in connection with distributions made to the partners of Virtu Financial pursuant to the Company’s Up-C corporate structure; (b) the independence and disinterestedness of the Company’s directors and/or officers and whether the directors breached their fiduciary duties; and (c) potential damages relating thereto. The Company believes that the claims are without merit and is defending itself vigorously.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Legal and Regulatory Matters</w:t>
      </w:r>
    </w:p>
    <w:p>
      <w:pPr>
        <w:spacing w:after="0" w:line="241" w:lineRule="exact"/>
        <w:rPr>
          <w:sz w:val="20"/>
          <w:szCs w:val="20"/>
          <w:color w:val="auto"/>
        </w:rPr>
      </w:pPr>
    </w:p>
    <w:p>
      <w:pPr>
        <w:ind w:right="80" w:firstLine="629"/>
        <w:spacing w:after="0" w:line="242" w:lineRule="auto"/>
        <w:rPr>
          <w:sz w:val="20"/>
          <w:szCs w:val="20"/>
          <w:color w:val="auto"/>
        </w:rPr>
      </w:pPr>
      <w:r>
        <w:rPr>
          <w:rFonts w:ascii="Times New Roman" w:cs="Times New Roman" w:eastAsia="Times New Roman" w:hAnsi="Times New Roman"/>
          <w:sz w:val="17"/>
          <w:szCs w:val="17"/>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increased regulatory, congressional and media scrutiny of U.S. equities market structure, the retail trading environment in the U.S., wholesale market making and the relationships between retail broker-dealers and market making firms, including but not limited to payment for order flow arrangements, other remuneration arrangements such as profit-sharing relationships and exchange fee and rebate structures, alternative trading systems and off-exchange trading more generally, high frequency trading, short selling, market fragmentation, colocation, and access to market data feeds. From time to time, the Company is the subject of requests for information and documents from the SEC, the Financial Industry Regulatory Authority ("FINRA"), state attorneys general, and other regulators and governmental authorities. It is the Company's practice to cooperate and comply with the requests for information and documents.</w:t>
      </w:r>
    </w:p>
    <w:p>
      <w:pPr>
        <w:spacing w:after="0" w:line="200" w:lineRule="exact"/>
        <w:rPr>
          <w:sz w:val="20"/>
          <w:szCs w:val="20"/>
          <w:color w:val="auto"/>
        </w:rPr>
      </w:pPr>
    </w:p>
    <w:p>
      <w:pPr>
        <w:spacing w:after="0" w:line="223" w:lineRule="exact"/>
        <w:rPr>
          <w:sz w:val="20"/>
          <w:szCs w:val="20"/>
          <w:color w:val="auto"/>
        </w:rPr>
      </w:pPr>
    </w:p>
    <w:p>
      <w:pPr>
        <w:ind w:right="100" w:firstLine="629"/>
        <w:spacing w:after="0" w:line="296" w:lineRule="auto"/>
        <w:rPr>
          <w:sz w:val="20"/>
          <w:szCs w:val="20"/>
          <w:color w:val="auto"/>
        </w:rPr>
      </w:pPr>
      <w:r>
        <w:rPr>
          <w:rFonts w:ascii="Times New Roman" w:cs="Times New Roman" w:eastAsia="Times New Roman" w:hAnsi="Times New Roman"/>
          <w:sz w:val="17"/>
          <w:szCs w:val="17"/>
          <w:color w:val="auto"/>
        </w:rPr>
        <w:t>The Company is currently the subject of various regulatory reviews and investigations by state, federal and foreign regulators and SROs, including the SEC and FINRA. In some instances, these matters may result in a disciplinary action and/or a civil or administrative action.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Representations and Warranties; Indemnification Arrangements</w:t>
      </w:r>
    </w:p>
    <w:p>
      <w:pPr>
        <w:spacing w:after="0" w:line="254"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In the normal course of its operations, the Company enters into contracts that contain a variety of representations and warranties in addition to indemnification obligations, including indemnification obligations in connection with the Acquisition of KCG and the ITG Acquisition. The Company's maximum exposure under these arrangements is currently unknown, as any such exposure could relate to claims not yet brought or events which have not yet occurred. For example, in November 2013, KCG sold Urban Financial of America, LLC (“Urban”), the reverse mortgage origination and securitization business previously owned by Knight Capital Group, Inc., to an investor group now known as Finance of America Reverse, LLC (“FAR”). Pursuant to the terms of the Stock Purchase Agreement between KCG and FAR, Virtu has certain continuing obligations related to KCG's prior ownership of Urban.</w:t>
      </w:r>
    </w:p>
    <w:p>
      <w:pPr>
        <w:spacing w:after="0" w:line="198"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Consistent with standard business practices in the normal course of business, the Company enters into contracts that contain a variety of representations and warranties and general indemnifications. The Company has also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Leases</w:t>
      </w:r>
    </w:p>
    <w:p>
      <w:pPr>
        <w:spacing w:after="0" w:line="252" w:lineRule="exact"/>
        <w:rPr>
          <w:sz w:val="20"/>
          <w:szCs w:val="20"/>
          <w:color w:val="auto"/>
        </w:rPr>
      </w:pPr>
    </w:p>
    <w:p>
      <w:pPr>
        <w:jc w:val="both"/>
        <w:ind w:right="200" w:firstLine="629"/>
        <w:spacing w:after="0" w:line="276" w:lineRule="auto"/>
        <w:rPr>
          <w:sz w:val="20"/>
          <w:szCs w:val="20"/>
          <w:color w:val="auto"/>
        </w:rPr>
      </w:pPr>
      <w:r>
        <w:rPr>
          <w:rFonts w:ascii="Times New Roman" w:cs="Times New Roman" w:eastAsia="Times New Roman" w:hAnsi="Times New Roman"/>
          <w:sz w:val="17"/>
          <w:szCs w:val="17"/>
          <w:color w:val="auto"/>
        </w:rPr>
        <w:t>The Company primarily enters into lessee arrangements for corporate office space, data centers, and technology equipment. For more information on lease accounting, see Note 2 "Summary of Significant Accounting Policies" and Note 17 "Leases" to the Consolidated Financial Statements of the Company's 2021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right"/>
        <w:ind w:right="6720"/>
        <w:spacing w:after="0"/>
        <w:rPr>
          <w:sz w:val="20"/>
          <w:szCs w:val="20"/>
          <w:color w:val="auto"/>
        </w:rPr>
      </w:pPr>
      <w:r>
        <w:rPr>
          <w:rFonts w:ascii="Times New Roman" w:cs="Times New Roman" w:eastAsia="Times New Roman" w:hAnsi="Times New Roman"/>
          <w:sz w:val="17"/>
          <w:szCs w:val="17"/>
          <w:color w:val="auto"/>
        </w:rPr>
        <w:t>Lease assets and liabilities are summarized as follows:</w:t>
      </w:r>
    </w:p>
    <w:p>
      <w:pPr>
        <w:sectPr>
          <w:pgSz w:w="11900" w:h="16838" w:orient="portrait"/>
          <w:cols w:equalWidth="0" w:num="1">
            <w:col w:w="11160"/>
          </w:cols>
          <w:pgMar w:left="320" w:top="121" w:right="419" w:bottom="1440" w:gutter="0" w:footer="0" w:header="0"/>
        </w:sectPr>
      </w:pPr>
    </w:p>
    <w:p>
      <w:pPr>
        <w:spacing w:after="0" w:line="2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Operating leases</w:t>
      </w:r>
    </w:p>
    <w:p>
      <w:pPr>
        <w:spacing w:after="0" w:line="35" w:lineRule="exact"/>
        <w:rPr>
          <w:sz w:val="20"/>
          <w:szCs w:val="20"/>
          <w:color w:val="auto"/>
        </w:rPr>
      </w:pPr>
    </w:p>
    <w:p>
      <w:pPr>
        <w:ind w:left="220" w:right="80"/>
        <w:spacing w:after="0" w:line="324" w:lineRule="auto"/>
        <w:rPr>
          <w:sz w:val="20"/>
          <w:szCs w:val="20"/>
          <w:color w:val="auto"/>
        </w:rPr>
      </w:pPr>
      <w:r>
        <w:rPr>
          <w:rFonts w:ascii="Times New Roman" w:cs="Times New Roman" w:eastAsia="Times New Roman" w:hAnsi="Times New Roman"/>
          <w:sz w:val="14"/>
          <w:szCs w:val="14"/>
          <w:color w:val="auto"/>
        </w:rPr>
        <w:t>Operating lease right-of-use assets Operating lease liabilities</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Finance leases</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Property and equipment, at cost</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Accumulated depreciation</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Finance lease liabilities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400" w:type="dxa"/>
            <w:vAlign w:val="bottom"/>
            <w:gridSpan w:val="2"/>
          </w:tcPr>
          <w:p>
            <w:pPr>
              <w:ind w:left="1260"/>
              <w:spacing w:after="0"/>
              <w:rPr>
                <w:sz w:val="20"/>
                <w:szCs w:val="20"/>
                <w:color w:val="auto"/>
              </w:rPr>
            </w:pPr>
            <w:r>
              <w:rPr>
                <w:rFonts w:ascii="Times New Roman" w:cs="Times New Roman" w:eastAsia="Times New Roman" w:hAnsi="Times New Roman"/>
                <w:sz w:val="14"/>
                <w:szCs w:val="14"/>
                <w:b w:val="1"/>
                <w:bCs w:val="1"/>
                <w:color w:val="auto"/>
              </w:rPr>
              <w:t>Financial Statement Location</w:t>
            </w:r>
          </w:p>
        </w:tc>
        <w:tc>
          <w:tcPr>
            <w:tcW w:w="26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Pr>
          <w:p>
            <w:pPr>
              <w:spacing w:after="0"/>
              <w:rPr>
                <w:sz w:val="16"/>
                <w:szCs w:val="16"/>
                <w:color w:val="auto"/>
              </w:rPr>
            </w:pPr>
          </w:p>
        </w:tc>
        <w:tc>
          <w:tcPr>
            <w:tcW w:w="164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363"/>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220,140</w:t>
            </w:r>
          </w:p>
        </w:tc>
        <w:tc>
          <w:tcPr>
            <w:tcW w:w="100" w:type="dxa"/>
            <w:vAlign w:val="bottom"/>
          </w:tcPr>
          <w:p>
            <w:pPr>
              <w:spacing w:after="0"/>
              <w:rPr>
                <w:sz w:val="24"/>
                <w:szCs w:val="24"/>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225,328</w:t>
            </w:r>
          </w:p>
        </w:tc>
      </w:tr>
      <w:tr>
        <w:trPr>
          <w:trHeight w:val="196"/>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269,937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278,745</w:t>
            </w:r>
          </w:p>
        </w:tc>
      </w:tr>
      <w:tr>
        <w:trPr>
          <w:trHeight w:val="655"/>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equipment, and capitalized software, net</w:t>
            </w:r>
          </w:p>
        </w:tc>
        <w:tc>
          <w:tcPr>
            <w:tcW w:w="2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27,692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18,965</w:t>
            </w:r>
          </w:p>
        </w:tc>
      </w:tr>
      <w:tr>
        <w:trPr>
          <w:trHeight w:val="196"/>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equipment, and capitalized software, net</w:t>
            </w:r>
          </w:p>
        </w:tc>
        <w:tc>
          <w:tcPr>
            <w:tcW w:w="2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(12,465)</w:t>
            </w:r>
          </w:p>
        </w:tc>
      </w:tr>
      <w:tr>
        <w:trPr>
          <w:trHeight w:val="196"/>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-774700</wp:posOffset>
            </wp:positionV>
            <wp:extent cx="7028180" cy="1244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28180" cy="124460"/>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-483235</wp:posOffset>
            </wp:positionV>
            <wp:extent cx="7028180" cy="1244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28180" cy="124460"/>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-233680</wp:posOffset>
            </wp:positionV>
            <wp:extent cx="7028180" cy="1244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28180" cy="124460"/>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-1032510</wp:posOffset>
            </wp:positionV>
            <wp:extent cx="7028180" cy="133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28180" cy="133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720"/>
            <w:col w:w="8200"/>
          </w:cols>
          <w:pgMar w:left="320" w:top="121" w:right="419" w:bottom="1440" w:gutter="0" w:footer="0" w:header="0"/>
          <w:type w:val="continuous"/>
        </w:sectPr>
      </w:pP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Weighted average remaining lease term and discount rate are as follows:</w:t>
      </w:r>
    </w:p>
    <w:p>
      <w:pPr>
        <w:spacing w:after="0" w:line="283" w:lineRule="exact"/>
        <w:rPr>
          <w:sz w:val="20"/>
          <w:szCs w:val="20"/>
          <w:color w:val="auto"/>
        </w:rPr>
      </w:pPr>
    </w:p>
    <w:tbl>
      <w:tblPr>
        <w:tblLayout w:type="fixed"/>
        <w:tblInd w:w="144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20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3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17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w:t>
            </w: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189"/>
        </w:trPr>
        <w:tc>
          <w:tcPr>
            <w:tcW w:w="4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6.59 years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 years</w:t>
            </w:r>
          </w:p>
        </w:tc>
      </w:tr>
      <w:tr>
        <w:trPr>
          <w:trHeight w:val="204"/>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Finance leases</w:t>
            </w:r>
          </w:p>
        </w:tc>
        <w:tc>
          <w:tcPr>
            <w:tcW w:w="2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2.28 years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 years</w:t>
            </w:r>
          </w:p>
        </w:tc>
      </w:tr>
      <w:tr>
        <w:trPr>
          <w:trHeight w:val="189"/>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04"/>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5.43 %</w:t>
            </w:r>
          </w:p>
        </w:tc>
        <w:tc>
          <w:tcPr>
            <w:tcW w:w="1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5.47 %</w:t>
            </w:r>
          </w:p>
        </w:tc>
      </w:tr>
      <w:tr>
        <w:trPr>
          <w:trHeight w:val="182"/>
        </w:trPr>
        <w:tc>
          <w:tcPr>
            <w:tcW w:w="4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Finance leases</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2.60 %</w:t>
            </w:r>
          </w:p>
        </w:tc>
        <w:tc>
          <w:tcPr>
            <w:tcW w:w="10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2.38 %</w:t>
            </w:r>
          </w:p>
        </w:tc>
      </w:tr>
    </w:tbl>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components of lease expense are as follows:</w:t>
      </w:r>
    </w:p>
    <w:p>
      <w:pPr>
        <w:spacing w:after="0" w:line="47" w:lineRule="exact"/>
        <w:rPr>
          <w:sz w:val="20"/>
          <w:szCs w:val="20"/>
          <w:color w:val="auto"/>
        </w:rPr>
      </w:pPr>
    </w:p>
    <w:tbl>
      <w:tblPr>
        <w:tblLayout w:type="fixed"/>
        <w:tblInd w:w="190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60" w:type="dxa"/>
            <w:vAlign w:val="bottom"/>
            <w:gridSpan w:val="4"/>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9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Fixed</w:t>
            </w: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18,068</w:t>
            </w:r>
          </w:p>
        </w:tc>
        <w:tc>
          <w:tcPr>
            <w:tcW w:w="12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19,101</w:t>
            </w:r>
          </w:p>
        </w:tc>
        <w:tc>
          <w:tcPr>
            <w:tcW w:w="0" w:type="dxa"/>
            <w:vAlign w:val="bottom"/>
          </w:tcPr>
          <w:p>
            <w:pPr>
              <w:spacing w:after="0"/>
              <w:rPr>
                <w:sz w:val="1"/>
                <w:szCs w:val="1"/>
                <w:color w:val="auto"/>
              </w:rPr>
            </w:pPr>
          </w:p>
        </w:tc>
      </w:tr>
      <w:tr>
        <w:trPr>
          <w:trHeight w:val="204"/>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Variable</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1,445</w:t>
            </w:r>
          </w:p>
        </w:tc>
        <w:tc>
          <w:tcPr>
            <w:tcW w:w="0" w:type="dxa"/>
            <w:vAlign w:val="bottom"/>
          </w:tcPr>
          <w:p>
            <w:pPr>
              <w:spacing w:after="0"/>
              <w:rPr>
                <w:sz w:val="1"/>
                <w:szCs w:val="1"/>
                <w:color w:val="auto"/>
              </w:rPr>
            </w:pPr>
          </w:p>
        </w:tc>
      </w:tr>
      <w:tr>
        <w:trPr>
          <w:trHeight w:val="19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Impairment of ROU Asset</w:t>
            </w:r>
          </w:p>
        </w:tc>
        <w:tc>
          <w:tcPr>
            <w:tcW w:w="40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1,198</w:t>
            </w:r>
          </w:p>
        </w:tc>
        <w:tc>
          <w:tcPr>
            <w:tcW w:w="0" w:type="dxa"/>
            <w:vAlign w:val="bottom"/>
          </w:tcPr>
          <w:p>
            <w:pPr>
              <w:spacing w:after="0"/>
              <w:rPr>
                <w:sz w:val="1"/>
                <w:szCs w:val="1"/>
                <w:color w:val="auto"/>
              </w:rPr>
            </w:pPr>
          </w:p>
        </w:tc>
      </w:tr>
      <w:tr>
        <w:trPr>
          <w:trHeight w:val="221"/>
        </w:trPr>
        <w:tc>
          <w:tcPr>
            <w:tcW w:w="39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lease cost</w:t>
            </w:r>
          </w:p>
        </w:tc>
        <w:tc>
          <w:tcPr>
            <w:tcW w:w="40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21,744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Sublease income</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4,443</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cost:</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Amortization of ROU Asset</w:t>
            </w: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w:t>
            </w:r>
          </w:p>
        </w:tc>
        <w:tc>
          <w:tcPr>
            <w:tcW w:w="12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2,133</w:t>
            </w:r>
          </w:p>
        </w:tc>
        <w:tc>
          <w:tcPr>
            <w:tcW w:w="0" w:type="dxa"/>
            <w:vAlign w:val="bottom"/>
          </w:tcPr>
          <w:p>
            <w:pPr>
              <w:spacing w:after="0"/>
              <w:rPr>
                <w:sz w:val="1"/>
                <w:szCs w:val="1"/>
                <w:color w:val="auto"/>
              </w:rPr>
            </w:pPr>
          </w:p>
        </w:tc>
      </w:tr>
      <w:tr>
        <w:trPr>
          <w:trHeight w:val="197"/>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96"/>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Finance lease cost</w:t>
            </w: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1,986</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2,207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Future minimum lease payments under operating and finance leases with non-cancelable lease terms, as of March 31, 2022, are as follows:</w:t>
      </w:r>
    </w:p>
    <w:p>
      <w:pPr>
        <w:spacing w:after="0" w:line="283" w:lineRule="exact"/>
        <w:rPr>
          <w:sz w:val="20"/>
          <w:szCs w:val="20"/>
          <w:color w:val="auto"/>
        </w:rPr>
      </w:pPr>
    </w:p>
    <w:tbl>
      <w:tblPr>
        <w:tblLayout w:type="fixed"/>
        <w:tblInd w:w="2580" w:type="dxa"/>
        <w:tblCellMar>
          <w:top w:w="0" w:type="dxa"/>
          <w:left w:w="0" w:type="dxa"/>
          <w:bottom w:w="0" w:type="dxa"/>
          <w:right w:w="0" w:type="dxa"/>
        </w:tblCellMar>
      </w:tblPr>
      <w:tr>
        <w:trPr>
          <w:trHeight w:val="184"/>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2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5"/>
                <w:szCs w:val="15"/>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52,574</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7,470</w:t>
            </w:r>
          </w:p>
        </w:tc>
      </w:tr>
      <w:tr>
        <w:trPr>
          <w:trHeight w:val="20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64,289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4,909</w:t>
            </w:r>
          </w:p>
        </w:tc>
      </w:tr>
      <w:tr>
        <w:trPr>
          <w:trHeight w:val="189"/>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61,840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3,298</w:t>
            </w:r>
          </w:p>
        </w:tc>
      </w:tr>
      <w:tr>
        <w:trPr>
          <w:trHeight w:val="20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33,486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89"/>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29,470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 and thereafter</w:t>
            </w: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98,456</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lease payments</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340,116</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15,917</w:t>
            </w:r>
          </w:p>
        </w:tc>
      </w:tr>
      <w:tr>
        <w:trPr>
          <w:trHeight w:val="197"/>
        </w:trPr>
        <w:tc>
          <w:tcPr>
            <w:tcW w:w="2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imputed interest</w:t>
            </w: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(70,179)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w:t>
            </w:r>
          </w:p>
        </w:tc>
      </w:tr>
      <w:tr>
        <w:trPr>
          <w:trHeight w:val="196"/>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lease liability</w:t>
            </w: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269,937</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13,434</w:t>
            </w: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Cash</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provides a reconciliation of cash and cash equivalents together with restricted or segregated cash</w:t>
      </w:r>
    </w:p>
    <w:p>
      <w:pPr>
        <w:spacing w:after="0" w:line="32"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as reported within the Condensed Consolidated Statements of Financial Condition to the sum of the same such amounts shown in the Condensed Consolidated Statements of Cash Flows.</w:t>
      </w:r>
    </w:p>
    <w:p>
      <w:pPr>
        <w:spacing w:after="0" w:line="224"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0" w:type="dxa"/>
            <w:vAlign w:val="bottom"/>
          </w:tcPr>
          <w:p>
            <w:pPr>
              <w:spacing w:after="0"/>
              <w:rPr>
                <w:sz w:val="16"/>
                <w:szCs w:val="16"/>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6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564,900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1,071,463</w:t>
            </w:r>
          </w:p>
        </w:tc>
      </w:tr>
      <w:tr>
        <w:trPr>
          <w:trHeight w:val="190"/>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restricted or segregated under regulations and other</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47,788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49,490</w:t>
            </w:r>
          </w:p>
        </w:tc>
      </w:tr>
      <w:tr>
        <w:trPr>
          <w:trHeight w:val="221"/>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 shown in the statement of cash flows</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612,688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1,120,953</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Capital Structure</w:t>
      </w:r>
    </w:p>
    <w:p>
      <w:pPr>
        <w:spacing w:after="0" w:line="252"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 The Founder Member controls approximately 84.4% of the combined voting power of our common stock as a result of its ownership of our Class A, Class C and Class D Common Stock. The Company holds approximately a 61.4% interest in Virtu Financial at March 31, 2022.</w:t>
      </w:r>
    </w:p>
    <w:p>
      <w:pPr>
        <w:spacing w:after="0" w:line="196"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During the period prior to certain reorganization transactions and IPO, Class A-2 profits interests and Class B interests in Virtu Financial were issued to Employee Holdco (as defined below) on behalf of certain key employees and stakeholders. In connection with these reorganization transactions, all Class A-2 profits interests and Class B interests were reclassified into Virtu Financial Units. As of March 31, 2022 and December 31, 2021, there were 4,485,929 and 4,791,839 Virtu Financial Units outstanding held by Employee Holdco (as defined below), respectively, and 305,910 and 91,757 of such Virtu Financial Units and corresponding Class C Common Stock were exchanged into Class A Common Stock, forfeited or repurchased during the three months ended March 31, 2022 and 2021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2015 Management Incentive Plan</w:t>
      </w:r>
    </w:p>
    <w:p>
      <w:pPr>
        <w:spacing w:after="0" w:line="254"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and June 5, 2020. The Amended and Restated 2015 Management Incentive Plan provides for the grant of stock options, restricted stock units, and other awards based on an aggregate of 21,000,000 shares of Class A Common Stock, subject to additional sublimits, including limits on the total option grant to any one participant in a single year and the total performance award to any one participant in a single year.</w:t>
      </w:r>
    </w:p>
    <w:p>
      <w:pPr>
        <w:spacing w:after="0" w:line="196"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On November 13, 2020, the Company amended its form award agreement for the issuance of RSUs to provide for the continued vesting of outstanding RSU awards upon the occurrence of a qualified retirement (the "RSU Amendment"). A qualified retirement generally means a voluntary resignation by the participant (i) after five years of service, (ii) the participant attaining the age of 50 and (iii) the sum of the participant's age and service at the time of termination equaling or exceeding 65. Continued vesting is subject to the participant entering into a 2 year non-compete. The RSU Amendment was authorized and approved by the Compensation Committee of the Company's Board of Directors. As a result of the RSU Amendment, currently issued and outstanding RSUs held by the Company's employees, including its executive officers, shall be deemed to be subject to the amended terms of the form award agreement, and any future RSU awards shall also be governed by such amended terms.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Investment Technology Group, Inc. 2007 Omnibus Equity Compensation Plan</w:t>
      </w:r>
    </w:p>
    <w:p>
      <w:pPr>
        <w:spacing w:after="0" w:line="254"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On the ITG Closing Date, the Company assumed the Amended and Restated ITG 2007 Equity Plan and the Assumed Awards. As of the ITG Closing Date, the aggregate number of shares of Class A Common Stock subject to such Assumed Awards was 2,497,028 and the aggregate number of shares of Class A Common Stock that remained issuable pursuant to the Amended and Restated ITG 2007 Equity Plan was 1,230,406.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254" w:lineRule="exact"/>
        <w:rPr>
          <w:sz w:val="20"/>
          <w:szCs w:val="20"/>
          <w:color w:val="auto"/>
        </w:rPr>
      </w:pPr>
    </w:p>
    <w:p>
      <w:pPr>
        <w:ind w:right="380" w:firstLine="629"/>
        <w:spacing w:after="0" w:line="296" w:lineRule="auto"/>
        <w:rPr>
          <w:sz w:val="20"/>
          <w:szCs w:val="20"/>
          <w:color w:val="auto"/>
        </w:rPr>
      </w:pPr>
      <w:r>
        <w:rPr>
          <w:rFonts w:ascii="Times New Roman" w:cs="Times New Roman" w:eastAsia="Times New Roman" w:hAnsi="Times New Roman"/>
          <w:sz w:val="17"/>
          <w:szCs w:val="17"/>
          <w:color w:val="auto"/>
        </w:rPr>
        <w:t>On November 6, 2020, the Company's Board of Directors authorized a new share repurchase program of up to $100.0 million in Class A common stock and Virtu Financial Units by December 31, 2021. On February 11, 2021, the</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7"/>
          <w:szCs w:val="17"/>
          <w:color w:val="auto"/>
        </w:rPr>
        <w:t>Company's Board of Directors authorized the expansion of the program by an additional $70 million in Class A Common Stock and Virtu Financial Units. On May 4, 2021, the Company's Board of Directors authorized the expansion of the Company's share repurchase program, increasing the total authorized amount by $300 million to $470 million in Class A Common Stock and Virtu Financial Units and extending the duration of the program through May 4, 2022.</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Additionally, on November 3, 2021 the Company's Board of Directors authorized the expansion of the program by an additional $750 million to $1,220 million and extending the duration of the program through November 3, 2023.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March 31, 2022, the Company repurchased approximately 25.1 million shares of Class A Common Stock and Virtu Financial Units for approximately $726.3 million. As of March 31, 2022, the Company has approximately $493.7 million remaining capacity for future purchases of shares of Class A Common Stock and Virtu Financial Units under the program.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Exchanges</w:t>
      </w:r>
    </w:p>
    <w:p>
      <w:pPr>
        <w:spacing w:after="0" w:line="254" w:lineRule="exact"/>
        <w:rPr>
          <w:sz w:val="20"/>
          <w:szCs w:val="20"/>
          <w:color w:val="auto"/>
        </w:rPr>
      </w:pPr>
    </w:p>
    <w:p>
      <w:pPr>
        <w:jc w:val="both"/>
        <w:ind w:right="500" w:firstLine="629"/>
        <w:spacing w:after="0" w:line="276" w:lineRule="auto"/>
        <w:rPr>
          <w:sz w:val="20"/>
          <w:szCs w:val="20"/>
          <w:color w:val="auto"/>
        </w:rPr>
      </w:pPr>
      <w:r>
        <w:rPr>
          <w:rFonts w:ascii="Times New Roman" w:cs="Times New Roman" w:eastAsia="Times New Roman" w:hAnsi="Times New Roman"/>
          <w:sz w:val="17"/>
          <w:szCs w:val="17"/>
          <w:color w:val="auto"/>
        </w:rPr>
        <w:t>During the three months ended March 31, 2022, and 2021, pursuant to the exchange agreement by and among the Company, Virtu Financial and holders of Virtu Financial Units, certain current and former employees elected to exchange 71,641, and 91,757 units, respectively in Virtu Financial held directly or on their behalf by Virtu Employee Holdco LLC (“Employee Holdco”) on a one-for-one basis for shares of Class A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Issuance</w:t>
      </w:r>
    </w:p>
    <w:p>
      <w:pPr>
        <w:spacing w:after="0" w:line="254" w:lineRule="exact"/>
        <w:rPr>
          <w:sz w:val="20"/>
          <w:szCs w:val="20"/>
          <w:color w:val="auto"/>
        </w:rPr>
      </w:pPr>
    </w:p>
    <w:p>
      <w:pPr>
        <w:ind w:right="20" w:firstLine="629"/>
        <w:spacing w:after="0" w:line="260" w:lineRule="auto"/>
        <w:rPr>
          <w:sz w:val="20"/>
          <w:szCs w:val="20"/>
          <w:color w:val="auto"/>
        </w:rPr>
      </w:pPr>
      <w:r>
        <w:rPr>
          <w:rFonts w:ascii="Times New Roman" w:cs="Times New Roman" w:eastAsia="Times New Roman" w:hAnsi="Times New Roman"/>
          <w:sz w:val="17"/>
          <w:szCs w:val="17"/>
          <w:color w:val="auto"/>
        </w:rPr>
        <w:t>On March 20, 2020, in connection with and in consideration of the Founder Member’s commitments under the Founder Member Loan Facility (as described in Note 8 "Borrowings"), the Company delivered to the Founder Member a warrant (the “Warrant”) to purchase shares of the Company’s Class A Common Stock. Pursuant to the Warrant, the Founder Member was entitled to purchase up to 3,000,000 shares of Class A Common Stock on or after May 22, 2020 up to and including January 15, 2022. If at any time during the term of the Founder Member Loan Facility, the Founder Member Loans equal to or greater than $100 million had remained outstanding for a certain period of time specified in the Warrant, the number of shares would have increased to 10,000,000. The Founder Member Loan Facility Term expired on September 20, 2020 without the Company having borrowed any Founder Member Loans thereunder (as described in Note 8 "Borrowings"). The exercise price per share of the Class A Common Stock issuable pursuant to the Warrant was $22.98, which in accordance with the terms of the Warrant, is equal to the average of the volume weighted average prices of the Class A Common Stock for the ten (10) trading days following May 7, 2020, the date on which the Company publicly announced its earnings results for the first quarter of 2020. On December 17, 2021, the Founder Member exercised in full the Warrant to purchase 3,000,000 shares of the Company's Class A Common Stock. The Warrant and Class A Common Stock issued pursuant to the Warrant were offered, issued and sold, in reliance on the exemption from the registration requirements of the Securities Act of 1933, as amended (the "Securities Act"), set forth under Section 4(a)(2) of the Securities Act relating to sales by an issuer not involving any public offering.</w:t>
      </w:r>
    </w:p>
    <w:p>
      <w:pPr>
        <w:spacing w:after="0" w:line="209" w:lineRule="exact"/>
        <w:rPr>
          <w:sz w:val="20"/>
          <w:szCs w:val="20"/>
          <w:color w:val="auto"/>
        </w:rPr>
      </w:pPr>
    </w:p>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Upon issuance, the fair value of the Warrant was determined using a Black-Scholes-Merton model, and was recorded as a debt issuance cost within Other Assets on the Condensed Consolidated Statements of Financial Condition and as an increase to Additional paid-in capital on the Condensed Consolidated Statements of Changes in Equity. The balance was amortized on a straight-line basis from March 20, 2020 through September 20, 2020, the date on which the Founder Member Loan Facility expired, and recorded as expense within Debt issue cost related to debt refinancing, prepayment and commitment fees in the Condensed Consolidated Statements of Comprehensive Income.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Income</w:t>
      </w:r>
    </w:p>
    <w:p>
      <w:pPr>
        <w:spacing w:after="0" w:line="2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changes in Other Comprehensive Income for the three months ended March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w w:val="99"/>
              </w:rPr>
              <w:t>AOCI Beginning</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Amounts recorded</w:t>
            </w:r>
          </w:p>
        </w:tc>
        <w:tc>
          <w:tcPr>
            <w:tcW w:w="100" w:type="dxa"/>
            <w:vAlign w:val="bottom"/>
          </w:tcPr>
          <w:p>
            <w:pPr>
              <w:spacing w:after="0"/>
              <w:rPr>
                <w:sz w:val="10"/>
                <w:szCs w:val="10"/>
                <w:color w:val="auto"/>
              </w:rPr>
            </w:pPr>
          </w:p>
        </w:tc>
        <w:tc>
          <w:tcPr>
            <w:tcW w:w="146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rPr>
              <w:t>Amounts reclassified</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AOCI Ending Balance</w:t>
            </w:r>
          </w:p>
        </w:tc>
        <w:tc>
          <w:tcPr>
            <w:tcW w:w="0" w:type="dxa"/>
            <w:vAlign w:val="bottom"/>
          </w:tcPr>
          <w:p>
            <w:pPr>
              <w:spacing w:after="0"/>
              <w:rPr>
                <w:sz w:val="1"/>
                <w:szCs w:val="1"/>
                <w:color w:val="auto"/>
              </w:rPr>
            </w:pPr>
          </w:p>
        </w:tc>
      </w:tr>
      <w:tr>
        <w:trPr>
          <w:trHeight w:val="190"/>
        </w:trPr>
        <w:tc>
          <w:tcPr>
            <w:tcW w:w="3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from AOCI to income</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unrealized cash flow hedges gains (losses) (1)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26,390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2,997</w:t>
            </w: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18,906</w:t>
            </w:r>
          </w:p>
        </w:tc>
        <w:tc>
          <w:tcPr>
            <w:tcW w:w="0" w:type="dxa"/>
            <w:vAlign w:val="bottom"/>
          </w:tcPr>
          <w:p>
            <w:pPr>
              <w:spacing w:after="0"/>
              <w:rPr>
                <w:sz w:val="1"/>
                <w:szCs w:val="1"/>
                <w:color w:val="auto"/>
              </w:rPr>
            </w:pPr>
          </w:p>
        </w:tc>
      </w:tr>
      <w:tr>
        <w:trPr>
          <w:trHeight w:val="190"/>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(3,172)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(2,887)</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23,218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16,019</w:t>
            </w:r>
          </w:p>
        </w:tc>
        <w:tc>
          <w:tcPr>
            <w:tcW w:w="0" w:type="dxa"/>
            <w:vAlign w:val="bottom"/>
          </w:tcPr>
          <w:p>
            <w:pPr>
              <w:spacing w:after="0"/>
              <w:rPr>
                <w:sz w:val="1"/>
                <w:szCs w:val="1"/>
                <w:color w:val="auto"/>
              </w:rPr>
            </w:pPr>
          </w:p>
        </w:tc>
      </w:tr>
    </w:tbl>
    <w:p>
      <w:pPr>
        <w:ind w:left="720" w:right="840" w:firstLine="9"/>
        <w:spacing w:after="0" w:line="233" w:lineRule="auto"/>
        <w:tabs>
          <w:tab w:leader="none" w:pos="893"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reclassified from AOCI to income are included within Financing interest expense on long-term borrowings on the Consolidated Statements of Comprehensive Income. As of March 31, 2022, the Company expects approximately $12.0 million to be reclassified from AOCI into earnings over the next 12 months. The timing of the reclassification is based on the interest payment schedule of the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-246380</wp:posOffset>
            </wp:positionV>
            <wp:extent cx="38760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6040" cy="8255"/>
                    </a:xfrm>
                    <a:prstGeom prst="rect">
                      <a:avLst/>
                    </a:prstGeom>
                    <a:noFill/>
                  </pic:spPr>
                </pic:pic>
              </a:graphicData>
            </a:graphic>
          </wp:anchor>
        </w:drawing>
      </w:r>
    </w:p>
    <w:p>
      <w:pPr>
        <w:spacing w:after="0" w:line="91"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w w:val="99"/>
              </w:rPr>
              <w:t>AOCI Beginning</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Amounts recorded</w:t>
            </w:r>
          </w:p>
        </w:tc>
        <w:tc>
          <w:tcPr>
            <w:tcW w:w="100" w:type="dxa"/>
            <w:vAlign w:val="bottom"/>
          </w:tcPr>
          <w:p>
            <w:pPr>
              <w:spacing w:after="0"/>
              <w:rPr>
                <w:sz w:val="10"/>
                <w:szCs w:val="10"/>
                <w:color w:val="auto"/>
              </w:rPr>
            </w:pPr>
          </w:p>
        </w:tc>
        <w:tc>
          <w:tcPr>
            <w:tcW w:w="146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rPr>
              <w:t>Amounts reclassified</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AOCI Ending Balance</w:t>
            </w:r>
          </w:p>
        </w:tc>
        <w:tc>
          <w:tcPr>
            <w:tcW w:w="0" w:type="dxa"/>
            <w:vAlign w:val="bottom"/>
          </w:tcPr>
          <w:p>
            <w:pPr>
              <w:spacing w:after="0"/>
              <w:rPr>
                <w:sz w:val="1"/>
                <w:szCs w:val="1"/>
                <w:color w:val="auto"/>
              </w:rPr>
            </w:pPr>
          </w:p>
        </w:tc>
      </w:tr>
      <w:tr>
        <w:trPr>
          <w:trHeight w:val="190"/>
        </w:trPr>
        <w:tc>
          <w:tcPr>
            <w:tcW w:w="3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from AOCI to income</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unrealized cash flow hedges gains (losses)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center"/>
              <w:ind w:left="810"/>
              <w:spacing w:after="0"/>
              <w:rPr>
                <w:sz w:val="20"/>
                <w:szCs w:val="20"/>
                <w:color w:val="auto"/>
              </w:rPr>
            </w:pPr>
            <w:r>
              <w:rPr>
                <w:rFonts w:ascii="Times New Roman" w:cs="Times New Roman" w:eastAsia="Times New Roman" w:hAnsi="Times New Roman"/>
                <w:sz w:val="14"/>
                <w:szCs w:val="14"/>
                <w:color w:val="auto"/>
              </w:rPr>
              <w:t>9,273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(20,837)</w:t>
            </w:r>
          </w:p>
        </w:tc>
        <w:tc>
          <w:tcPr>
            <w:tcW w:w="0" w:type="dxa"/>
            <w:vAlign w:val="bottom"/>
          </w:tcPr>
          <w:p>
            <w:pPr>
              <w:spacing w:after="0"/>
              <w:rPr>
                <w:sz w:val="1"/>
                <w:szCs w:val="1"/>
                <w:color w:val="auto"/>
              </w:rPr>
            </w:pPr>
          </w:p>
        </w:tc>
      </w:tr>
      <w:tr>
        <w:trPr>
          <w:trHeight w:val="190"/>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left="790"/>
              <w:spacing w:after="0"/>
              <w:rPr>
                <w:sz w:val="20"/>
                <w:szCs w:val="20"/>
                <w:color w:val="auto"/>
              </w:rPr>
            </w:pPr>
            <w:r>
              <w:rPr>
                <w:rFonts w:ascii="Times New Roman" w:cs="Times New Roman" w:eastAsia="Times New Roman" w:hAnsi="Times New Roman"/>
                <w:sz w:val="14"/>
                <w:szCs w:val="14"/>
                <w:color w:val="auto"/>
              </w:rPr>
              <w:t>(2,165)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5,792</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center"/>
              <w:ind w:left="810"/>
              <w:spacing w:after="0"/>
              <w:rPr>
                <w:sz w:val="20"/>
                <w:szCs w:val="20"/>
                <w:color w:val="auto"/>
              </w:rPr>
            </w:pPr>
            <w:r>
              <w:rPr>
                <w:rFonts w:ascii="Times New Roman" w:cs="Times New Roman" w:eastAsia="Times New Roman" w:hAnsi="Times New Roman"/>
                <w:sz w:val="14"/>
                <w:szCs w:val="14"/>
                <w:color w:val="auto"/>
              </w:rPr>
              <w:t>7,108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(15,045)</w:t>
            </w:r>
          </w:p>
        </w:tc>
        <w:tc>
          <w:tcPr>
            <w:tcW w:w="0" w:type="dxa"/>
            <w:vAlign w:val="bottom"/>
          </w:tcPr>
          <w:p>
            <w:pPr>
              <w:spacing w:after="0"/>
              <w:rPr>
                <w:sz w:val="1"/>
                <w:szCs w:val="1"/>
                <w:color w:val="auto"/>
              </w:rPr>
            </w:pPr>
          </w:p>
        </w:tc>
      </w:tr>
    </w:tbl>
    <w:p>
      <w:pPr>
        <w:ind w:left="900" w:hanging="171"/>
        <w:spacing w:after="0"/>
        <w:tabs>
          <w:tab w:leader="none" w:pos="900" w:val="left"/>
        </w:tabs>
        <w:numPr>
          <w:ilvl w:val="1"/>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reclassified from AOCI to income are included within Financing interest expense on long-term borrowings on the Consolidated Statements of Comprehensive Income.</w:t>
      </w:r>
    </w:p>
    <w:p>
      <w:pPr>
        <w:spacing w:after="0" w:line="200" w:lineRule="exact"/>
        <w:rPr>
          <w:rFonts w:ascii="Times New Roman" w:cs="Times New Roman" w:eastAsia="Times New Roman" w:hAnsi="Times New Roman"/>
          <w:sz w:val="12"/>
          <w:szCs w:val="12"/>
          <w:color w:val="auto"/>
        </w:rPr>
      </w:pPr>
    </w:p>
    <w:p>
      <w:pPr>
        <w:spacing w:after="0" w:line="244" w:lineRule="exact"/>
        <w:rPr>
          <w:rFonts w:ascii="Times New Roman" w:cs="Times New Roman" w:eastAsia="Times New Roman" w:hAnsi="Times New Roman"/>
          <w:sz w:val="12"/>
          <w:szCs w:val="12"/>
          <w:color w:val="auto"/>
        </w:rPr>
      </w:pPr>
    </w:p>
    <w:p>
      <w:pPr>
        <w:ind w:left="260" w:hanging="255"/>
        <w:spacing w:after="0"/>
        <w:tabs>
          <w:tab w:leader="none" w:pos="26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-485140</wp:posOffset>
            </wp:positionV>
            <wp:extent cx="38760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6040" cy="8255"/>
                    </a:xfrm>
                    <a:prstGeom prst="rect">
                      <a:avLst/>
                    </a:prstGeom>
                    <a:noFill/>
                  </pic:spPr>
                </pic:pic>
              </a:graphicData>
            </a:graphic>
          </wp:anchor>
        </w:drawing>
      </w:r>
    </w:p>
    <w:p>
      <w:pPr>
        <w:spacing w:after="0" w:line="232" w:lineRule="exact"/>
        <w:rPr>
          <w:sz w:val="20"/>
          <w:szCs w:val="20"/>
          <w:color w:val="auto"/>
        </w:rPr>
      </w:pPr>
    </w:p>
    <w:p>
      <w:pPr>
        <w:jc w:val="both"/>
        <w:ind w:right="120" w:firstLine="629"/>
        <w:spacing w:after="0" w:line="276" w:lineRule="auto"/>
        <w:rPr>
          <w:sz w:val="20"/>
          <w:szCs w:val="20"/>
          <w:color w:val="auto"/>
        </w:rPr>
      </w:pPr>
      <w:r>
        <w:rPr>
          <w:rFonts w:ascii="Times New Roman" w:cs="Times New Roman" w:eastAsia="Times New Roman" w:hAnsi="Times New Roman"/>
          <w:sz w:val="17"/>
          <w:szCs w:val="17"/>
          <w:color w:val="auto"/>
        </w:rPr>
        <w:t>Pursuant to the Amended and Restated 2015 Management Incentive Plan as described in Note 17 "Capital Structure", and in connection with the IPO, non-qualified stock options to purchase shares of Class A Common Stock were granted, each of which vests in equal annual installments over a period of four years from grant date and expires not later than 10 years from the date of grant.</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activity related to stock options for the three months ended March 31, 2022, and 2021:</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4"/>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980" w:type="dxa"/>
            <w:vAlign w:val="bottom"/>
          </w:tcPr>
          <w:p>
            <w:pPr>
              <w:spacing w:after="0"/>
              <w:rPr>
                <w:sz w:val="10"/>
                <w:szCs w:val="10"/>
                <w:color w:val="auto"/>
              </w:rPr>
            </w:pPr>
          </w:p>
        </w:tc>
        <w:tc>
          <w:tcPr>
            <w:tcW w:w="110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2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00" w:type="dxa"/>
            <w:vAlign w:val="bottom"/>
          </w:tcPr>
          <w:p>
            <w:pPr>
              <w:spacing w:after="0"/>
              <w:rPr>
                <w:sz w:val="10"/>
                <w:szCs w:val="10"/>
                <w:color w:val="auto"/>
              </w:rPr>
            </w:pPr>
          </w:p>
        </w:tc>
        <w:tc>
          <w:tcPr>
            <w:tcW w:w="110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Pr>
          <w:p>
            <w:pPr>
              <w:jc w:val="center"/>
              <w:ind w:right="90"/>
              <w:spacing w:after="0" w:line="124"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4"/>
        </w:trPr>
        <w:tc>
          <w:tcPr>
            <w:tcW w:w="39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Remaining Contractual</w:t>
            </w: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ind w:right="90"/>
              <w:spacing w:after="0" w:line="144"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At December 31, 2020</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2,324,152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shd w:val="clear" w:color="auto" w:fill="CCEEFF"/>
          </w:tcPr>
          <w:p>
            <w:pPr>
              <w:jc w:val="center"/>
              <w:ind w:left="1170"/>
              <w:spacing w:after="0"/>
              <w:rPr>
                <w:sz w:val="20"/>
                <w:szCs w:val="20"/>
                <w:color w:val="auto"/>
              </w:rPr>
            </w:pPr>
            <w:r>
              <w:rPr>
                <w:rFonts w:ascii="Times New Roman" w:cs="Times New Roman" w:eastAsia="Times New Roman" w:hAnsi="Times New Roman"/>
                <w:sz w:val="14"/>
                <w:szCs w:val="14"/>
                <w:color w:val="auto"/>
                <w:w w:val="97"/>
              </w:rPr>
              <w:t>4.24</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2,324,152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89"/>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(154,372)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90"/>
        </w:trPr>
        <w:tc>
          <w:tcPr>
            <w:tcW w:w="3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gridSpan w:val="2"/>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March 31, 2021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2,169,780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4"/>
                <w:szCs w:val="14"/>
                <w:color w:val="auto"/>
                <w:w w:val="97"/>
              </w:rPr>
              <w:t>4.24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2,169,780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December 31, 2021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1,795,655</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4"/>
                <w:szCs w:val="14"/>
                <w:color w:val="auto"/>
                <w:w w:val="97"/>
              </w:rPr>
              <w:t>3.24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1,795,655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89"/>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(246,879)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(246,879)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90"/>
        </w:trPr>
        <w:tc>
          <w:tcPr>
            <w:tcW w:w="3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gridSpan w:val="2"/>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At March 31,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1,543,776</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center"/>
              <w:ind w:left="1170"/>
              <w:spacing w:after="0"/>
              <w:rPr>
                <w:sz w:val="20"/>
                <w:szCs w:val="20"/>
                <w:color w:val="auto"/>
              </w:rPr>
            </w:pPr>
            <w:r>
              <w:rPr>
                <w:rFonts w:ascii="Times New Roman" w:cs="Times New Roman" w:eastAsia="Times New Roman" w:hAnsi="Times New Roman"/>
                <w:sz w:val="14"/>
                <w:szCs w:val="14"/>
                <w:color w:val="auto"/>
                <w:w w:val="97"/>
              </w:rPr>
              <w:t>2.99</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1,543,776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The expected life was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Investment Technology Group, Inc. 2007 Omnibus Equity Compensation Plan</w:t>
      </w:r>
    </w:p>
    <w:p>
      <w:pPr>
        <w:spacing w:after="0" w:line="254"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On the ITG Closing Date, the Company assumed the Amended and Restated ITG 2007 Equity Plan and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A Common Stock, Restricted Stock Units and Restricted Stock Awards</w:t>
      </w:r>
    </w:p>
    <w:p>
      <w:pPr>
        <w:spacing w:after="0" w:line="254"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7"/>
          <w:szCs w:val="17"/>
          <w:color w:val="auto"/>
        </w:rPr>
        <w:t>Pursuant to the Amended and Restated 2015 Management Incentive Plan as described in Note 17 "Capital Structure", subsequent to the IPO, shares of immediately vested Class A Common Stock, RSUs and RSAs were granted, with RSUs and RSAs vesting over a period of up to 4 years. The fair value of the Class A Common Stock and RSUs was determined based on a volume weighted average price and the expense is recognized on a straight-line basis over the vesting period. The fair value of the RSAs was determined based on the closing price as of the date of grant and the expense is recognized from the date that achievement of the performance target becomes probable through the remainder of the vesting period. Performance targets are based on the Company's adjusted EBITDA for certain future periods. For the three months ended March 31, 2022, and 2021, respectively, there were 580,710, and 633,938 shares of immediately vested Class A Common Stock granted as part of year-end compensation. In addition, the Company accrued compensation expense of $6.0 million, and $5.0 million for the three months ended March 31, 2022, and 2021, respectively, related to immediately vested Class A Common Stock expected to be awarded as part of year-end incentive compensation, which was included in Employee compensation and payroll taxes on the Condensed Consolidated Statements of Comprehensive Income and Accounts payable, accrued expenses and other liabilities on the Condensed Consolidated Statements of Financial Condition.</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activity related to RSUs (including the Assumed Awards) and RSAs for the three months ended March 31, 2022,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RSUs and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2"/>
        </w:trPr>
        <w:tc>
          <w:tcPr>
            <w:tcW w:w="86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 Fair</w:t>
            </w:r>
          </w:p>
        </w:tc>
        <w:tc>
          <w:tcPr>
            <w:tcW w:w="0" w:type="dxa"/>
            <w:vAlign w:val="bottom"/>
          </w:tcPr>
          <w:p>
            <w:pPr>
              <w:spacing w:after="0"/>
              <w:rPr>
                <w:sz w:val="1"/>
                <w:szCs w:val="1"/>
                <w:color w:val="auto"/>
              </w:rPr>
            </w:pPr>
          </w:p>
        </w:tc>
      </w:tr>
      <w:tr>
        <w:trPr>
          <w:trHeight w:val="191"/>
        </w:trPr>
        <w:tc>
          <w:tcPr>
            <w:tcW w:w="86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RSAs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December 31, 2020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3,393,084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0" w:type="dxa"/>
            <w:vAlign w:val="bottom"/>
          </w:tcPr>
          <w:p>
            <w:pPr>
              <w:spacing w:after="0"/>
              <w:rPr>
                <w:sz w:val="1"/>
                <w:szCs w:val="1"/>
                <w:color w:val="auto"/>
              </w:rPr>
            </w:pPr>
          </w:p>
        </w:tc>
      </w:tr>
      <w:tr>
        <w:trPr>
          <w:trHeight w:val="189"/>
        </w:trPr>
        <w:tc>
          <w:tcPr>
            <w:tcW w:w="8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2,105,988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27.35</w:t>
            </w:r>
          </w:p>
        </w:tc>
        <w:tc>
          <w:tcPr>
            <w:tcW w:w="0" w:type="dxa"/>
            <w:vAlign w:val="bottom"/>
          </w:tcPr>
          <w:p>
            <w:pPr>
              <w:spacing w:after="0"/>
              <w:rPr>
                <w:sz w:val="1"/>
                <w:szCs w:val="1"/>
                <w:color w:val="auto"/>
              </w:rPr>
            </w:pPr>
          </w:p>
        </w:tc>
      </w:tr>
      <w:tr>
        <w:trPr>
          <w:trHeight w:val="204"/>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0" w:type="dxa"/>
            <w:vAlign w:val="bottom"/>
          </w:tcPr>
          <w:p>
            <w:pPr>
              <w:spacing w:after="0"/>
              <w:rPr>
                <w:sz w:val="1"/>
                <w:szCs w:val="1"/>
                <w:color w:val="auto"/>
              </w:rPr>
            </w:pPr>
          </w:p>
        </w:tc>
      </w:tr>
      <w:tr>
        <w:trPr>
          <w:trHeight w:val="190"/>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(1,896,407)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0" w:type="dxa"/>
            <w:vAlign w:val="bottom"/>
          </w:tcPr>
          <w:p>
            <w:pPr>
              <w:spacing w:after="0"/>
              <w:rPr>
                <w:sz w:val="1"/>
                <w:szCs w:val="1"/>
                <w:color w:val="auto"/>
              </w:rPr>
            </w:pPr>
          </w:p>
        </w:tc>
      </w:tr>
      <w:tr>
        <w:trPr>
          <w:trHeight w:val="221"/>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March 31, 2021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3,515,007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December 31, 2021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3,224,447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0" w:type="dxa"/>
            <w:vAlign w:val="bottom"/>
          </w:tcPr>
          <w:p>
            <w:pPr>
              <w:spacing w:after="0"/>
              <w:rPr>
                <w:sz w:val="1"/>
                <w:szCs w:val="1"/>
                <w:color w:val="auto"/>
              </w:rPr>
            </w:pPr>
          </w:p>
        </w:tc>
      </w:tr>
      <w:tr>
        <w:trPr>
          <w:trHeight w:val="189"/>
        </w:trPr>
        <w:tc>
          <w:tcPr>
            <w:tcW w:w="8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Granted (1)</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2,484,363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29.92</w:t>
            </w:r>
          </w:p>
        </w:tc>
        <w:tc>
          <w:tcPr>
            <w:tcW w:w="0" w:type="dxa"/>
            <w:vAlign w:val="bottom"/>
          </w:tcPr>
          <w:p>
            <w:pPr>
              <w:spacing w:after="0"/>
              <w:rPr>
                <w:sz w:val="1"/>
                <w:szCs w:val="1"/>
                <w:color w:val="auto"/>
              </w:rPr>
            </w:pPr>
          </w:p>
        </w:tc>
      </w:tr>
      <w:tr>
        <w:trPr>
          <w:trHeight w:val="204"/>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(220,849)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w:t>
            </w:r>
          </w:p>
        </w:tc>
        <w:tc>
          <w:tcPr>
            <w:tcW w:w="0" w:type="dxa"/>
            <w:vAlign w:val="bottom"/>
          </w:tcPr>
          <w:p>
            <w:pPr>
              <w:spacing w:after="0"/>
              <w:rPr>
                <w:sz w:val="1"/>
                <w:szCs w:val="1"/>
                <w:color w:val="auto"/>
              </w:rPr>
            </w:pPr>
          </w:p>
        </w:tc>
      </w:tr>
      <w:tr>
        <w:trPr>
          <w:trHeight w:val="190"/>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(1,669,030)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0" w:type="dxa"/>
            <w:vAlign w:val="bottom"/>
          </w:tcPr>
          <w:p>
            <w:pPr>
              <w:spacing w:after="0"/>
              <w:rPr>
                <w:sz w:val="1"/>
                <w:szCs w:val="1"/>
                <w:color w:val="auto"/>
              </w:rPr>
            </w:pPr>
          </w:p>
        </w:tc>
      </w:tr>
      <w:tr>
        <w:trPr>
          <w:trHeight w:val="20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March 31, 2022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3,818,931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2"/>
          <w:szCs w:val="12"/>
          <w:color w:val="auto"/>
        </w:rPr>
        <w:t>(1) Excluded in the number of RSUs and RSAs are 462,500 participating RSAs where the grant date has not been achieved because the performance conditions have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-78740</wp:posOffset>
            </wp:positionV>
            <wp:extent cx="8731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73125" cy="8255"/>
                    </a:xfrm>
                    <a:prstGeom prst="rect">
                      <a:avLst/>
                    </a:prstGeom>
                    <a:noFill/>
                  </pic:spPr>
                </pic:pic>
              </a:graphicData>
            </a:graphic>
          </wp:anchor>
        </w:drawing>
      </w:r>
    </w:p>
    <w:p>
      <w:pPr>
        <w:spacing w:after="0" w:line="334"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The Company recognized $8.6 million, and $7.8 million for the three months ended March 31, 2022, and 2021, respectively, of compensation expense in relation to RSUs. As of March 31, 2022 and December 31, 2021, total unrecognized share-based compensation expense related to unvested RSUs was $79.8 million and $41.9 million, respectively, and this amount is to be recognized over a weighted average period of 1.5 years and 0.9 years, respectively. Awards in which the specific performance conditions have not been met are not included in unrecognized share-based compensation expense.</w:t>
      </w:r>
    </w:p>
    <w:p>
      <w:pPr>
        <w:spacing w:after="0" w:line="194"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On November 13, 2020, the Company adopted the Virtu Financial, Inc. Deferred Compensation Plan (the "DCP"). The DCP permits eligible executive officers and other employees to defer cash or equity-based compensation beginning in the calendar year ending December 31, 2021, subject to certain limitations and restrictions. Deferrals of cash compensation may also be directed to notional investments in certain of the employee investment opportunities. The Company recognized $5.6 million as compensation cost under the DCP as of March 31, 2022.</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Regulatory Requirement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 Subsidiary</w:t>
      </w:r>
    </w:p>
    <w:p>
      <w:pPr>
        <w:spacing w:after="0" w:line="252"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Company's U.S. broker-dealer subsidiary, VAL, is subject to the SEC Uniform Net Capital Rule 15c3-1, which requires the maintenance of minimum net capital as detailed in the table below. Pursuant to New York Stock Exchange ("NYSE") rules, VAL was also required to maintain $1.0 million of capital in connection with the operation of its designated market maker (“DMM”) business as of March 31, 2022. The required amount is determined under the exchange rules as the greater of (i) $1 million or (ii) $75,000 for every 0.1% of NYSE transaction dollar volume in each of the securities for which the Company is registered as the DMM.</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VAL's regulatory capital and regulatory capital requirements as of March 31, 2022 was as follows:</w:t>
      </w:r>
    </w:p>
    <w:p>
      <w:pPr>
        <w:spacing w:after="0" w:line="3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8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Virtu Americas LLC</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506,028</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2,535</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503,493</w:t>
            </w:r>
          </w:p>
        </w:tc>
        <w:tc>
          <w:tcPr>
            <w:tcW w:w="0" w:type="dxa"/>
            <w:vAlign w:val="bottom"/>
          </w:tcPr>
          <w:p>
            <w:pPr>
              <w:spacing w:after="0"/>
              <w:rPr>
                <w:sz w:val="1"/>
                <w:szCs w:val="1"/>
                <w:color w:val="auto"/>
              </w:rPr>
            </w:pPr>
          </w:p>
        </w:tc>
      </w:tr>
    </w:tbl>
    <w:p>
      <w:pPr>
        <w:spacing w:after="0" w:line="361" w:lineRule="exact"/>
        <w:rPr>
          <w:sz w:val="20"/>
          <w:szCs w:val="20"/>
          <w:color w:val="auto"/>
        </w:rPr>
      </w:pPr>
    </w:p>
    <w:p>
      <w:pPr>
        <w:ind w:right="160" w:firstLine="629"/>
        <w:spacing w:after="0" w:line="276" w:lineRule="auto"/>
        <w:rPr>
          <w:sz w:val="20"/>
          <w:szCs w:val="20"/>
          <w:color w:val="auto"/>
        </w:rPr>
      </w:pPr>
      <w:r>
        <w:rPr>
          <w:rFonts w:ascii="Times New Roman" w:cs="Times New Roman" w:eastAsia="Times New Roman" w:hAnsi="Times New Roman"/>
          <w:sz w:val="17"/>
          <w:szCs w:val="17"/>
          <w:color w:val="auto"/>
        </w:rPr>
        <w:t xml:space="preserve">As of March 31, 2022, VAL had $41.3 million of cash in special reserve bank accounts for the benefit of customers pursuant to SEC Rule 15c3-3, </w:t>
      </w:r>
      <w:r>
        <w:rPr>
          <w:rFonts w:ascii="Times New Roman" w:cs="Times New Roman" w:eastAsia="Times New Roman" w:hAnsi="Times New Roman"/>
          <w:sz w:val="17"/>
          <w:szCs w:val="17"/>
          <w:i w:val="1"/>
          <w:iCs w:val="1"/>
          <w:color w:val="auto"/>
        </w:rPr>
        <w:t xml:space="preserve">Computation for Determination of Reserve Requirements, </w:t>
      </w:r>
      <w:r>
        <w:rPr>
          <w:rFonts w:ascii="Times New Roman" w:cs="Times New Roman" w:eastAsia="Times New Roman" w:hAnsi="Times New Roman"/>
          <w:sz w:val="17"/>
          <w:szCs w:val="17"/>
          <w:color w:val="auto"/>
        </w:rPr>
        <w:t>and $5.8 million of cash in reserve bank accounts for the benefit of proprietary accounts of brokers.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balances are included within Cash restricted or segregated under regulations and other on the Condensed Consolidated Statements of Financial Condition.</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VAL's regulatory capital and regulatory capital requirements as of December 31, 2021 was as follows:</w:t>
      </w:r>
    </w:p>
    <w:p>
      <w:pPr>
        <w:spacing w:after="0" w:line="3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8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Virtu Americas LLC</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536,647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535,453</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right="160" w:firstLine="629"/>
        <w:spacing w:after="0" w:line="296" w:lineRule="auto"/>
        <w:rPr>
          <w:sz w:val="20"/>
          <w:szCs w:val="20"/>
          <w:color w:val="auto"/>
        </w:rPr>
      </w:pPr>
      <w:r>
        <w:rPr>
          <w:rFonts w:ascii="Times New Roman" w:cs="Times New Roman" w:eastAsia="Times New Roman" w:hAnsi="Times New Roman"/>
          <w:sz w:val="17"/>
          <w:szCs w:val="17"/>
          <w:color w:val="auto"/>
        </w:rPr>
        <w:t xml:space="preserve">As of December 31, 2021, VAL had $43.0 million of cash in special reserve bank accounts for the benefit of customers pursuant to SEC Rule 15c3-3, </w:t>
      </w:r>
      <w:r>
        <w:rPr>
          <w:rFonts w:ascii="Times New Roman" w:cs="Times New Roman" w:eastAsia="Times New Roman" w:hAnsi="Times New Roman"/>
          <w:sz w:val="17"/>
          <w:szCs w:val="17"/>
          <w:i w:val="1"/>
          <w:iCs w:val="1"/>
          <w:color w:val="auto"/>
        </w:rPr>
        <w:t xml:space="preserve">Computation for Determination of Reserve Requirements, </w:t>
      </w:r>
      <w:r>
        <w:rPr>
          <w:rFonts w:ascii="Times New Roman" w:cs="Times New Roman" w:eastAsia="Times New Roman" w:hAnsi="Times New Roman"/>
          <w:sz w:val="17"/>
          <w:szCs w:val="17"/>
          <w:color w:val="auto"/>
        </w:rPr>
        <w:t>and $5.8 million of cash in reserve bank accounts for the benefit of proprietary accounts of brokers.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Subsidiaries</w:t>
      </w:r>
    </w:p>
    <w:p>
      <w:pPr>
        <w:spacing w:after="0" w:line="252" w:lineRule="exact"/>
        <w:rPr>
          <w:sz w:val="20"/>
          <w:szCs w:val="20"/>
          <w:color w:val="auto"/>
        </w:rPr>
      </w:pPr>
    </w:p>
    <w:p>
      <w:pPr>
        <w:ind w:right="260" w:firstLine="629"/>
        <w:spacing w:after="0" w:line="270" w:lineRule="auto"/>
        <w:rPr>
          <w:sz w:val="20"/>
          <w:szCs w:val="20"/>
          <w:color w:val="auto"/>
        </w:rPr>
      </w:pPr>
      <w:r>
        <w:rPr>
          <w:rFonts w:ascii="Times New Roman" w:cs="Times New Roman" w:eastAsia="Times New Roman" w:hAnsi="Times New Roman"/>
          <w:sz w:val="17"/>
          <w:szCs w:val="17"/>
          <w:color w:val="auto"/>
        </w:rPr>
        <w:t>The Company’s foreign subsidiaries are subject to regulatory capital requirements set by local regulatory bodies, including the Investment Industry Regulatory Organization of Canada (“IIROC”), the Central Bank of Ireland ("CBI"), the Financial Conduct Authority ("FCA") in the United Kingdom, the Australian Securities and Investments Commission ("ASIC"), the Securities and Futures Commission in Hong Kong ("SFC"), and the Monetary Authority of Singapore ("MAS").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regulatory net capital balances and regulatory capital requirements applicable to the Company's foreign subsidiaries as of March 31, 2022 were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1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8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Canada Corp</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14,522</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640" w:type="dxa"/>
            <w:vAlign w:val="bottom"/>
          </w:tcPr>
          <w:p>
            <w:pPr>
              <w:jc w:val="right"/>
              <w:ind w:right="49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14,322</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Financial Canada ULC</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ITG Europe Limited (1)</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38,697</w:t>
            </w: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Financial Ireland Limited (1)</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46,596</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57,837</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UK Limited (1)</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Australia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25,285</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ITG Hong Kong Limited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4,179</w:t>
            </w: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Singapore Pte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0" w:type="dxa"/>
            <w:vAlign w:val="bottom"/>
          </w:tcPr>
          <w:p>
            <w:pPr>
              <w:spacing w:after="0"/>
              <w:rPr>
                <w:sz w:val="1"/>
                <w:szCs w:val="1"/>
                <w:color w:val="auto"/>
              </w:rPr>
            </w:pPr>
          </w:p>
        </w:tc>
      </w:tr>
      <w:tr>
        <w:trPr>
          <w:trHeight w:val="177"/>
        </w:trPr>
        <w:tc>
          <w:tcPr>
            <w:tcW w:w="5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(1) Preliminary</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40" w:firstLine="629"/>
        <w:spacing w:after="0" w:line="276" w:lineRule="auto"/>
        <w:rPr>
          <w:sz w:val="20"/>
          <w:szCs w:val="20"/>
          <w:color w:val="auto"/>
        </w:rPr>
      </w:pPr>
      <w:r>
        <w:rPr>
          <w:rFonts w:ascii="Times New Roman" w:cs="Times New Roman" w:eastAsia="Times New Roman" w:hAnsi="Times New Roman"/>
          <w:sz w:val="17"/>
          <w:szCs w:val="17"/>
          <w:color w:val="auto"/>
        </w:rPr>
        <w:t>As of March 31, 2022, Virtu ITG Europe Limited and Virtu ITG Canada Corp had $0.1 million and $0.4 million, respectively, of segregated funds on deposit for trade clearing and settlement activity, and Virtu ITG Hong Kong Ltd. had $30 thousand of segregated balances under a collateral account control agreement for the benefit of certain customers.</w:t>
      </w:r>
    </w:p>
    <w:p>
      <w:pPr>
        <w:spacing w:after="0" w:line="190" w:lineRule="exact"/>
        <w:rPr>
          <w:sz w:val="20"/>
          <w:szCs w:val="20"/>
          <w:color w:val="auto"/>
        </w:rPr>
      </w:pPr>
    </w:p>
    <w:p>
      <w:pPr>
        <w:ind w:firstLine="629"/>
        <w:spacing w:after="0" w:line="277" w:lineRule="auto"/>
        <w:rPr>
          <w:sz w:val="20"/>
          <w:szCs w:val="20"/>
          <w:color w:val="auto"/>
        </w:rPr>
      </w:pPr>
      <w:r>
        <w:rPr>
          <w:rFonts w:ascii="Times New Roman" w:cs="Times New Roman" w:eastAsia="Times New Roman" w:hAnsi="Times New Roman"/>
          <w:sz w:val="17"/>
          <w:szCs w:val="17"/>
          <w:color w:val="auto"/>
        </w:rPr>
        <w:t>The regulatory net capital balances and regulatory capital requirements applicable to the Company's foreign subsidiaries as of December 31, 2021 were as follows:</w:t>
      </w:r>
    </w:p>
    <w:tbl>
      <w:tblPr>
        <w:tblLayout w:type="fixed"/>
        <w:tblInd w:w="180" w:type="dxa"/>
        <w:tblCellMar>
          <w:top w:w="0" w:type="dxa"/>
          <w:left w:w="0" w:type="dxa"/>
          <w:bottom w:w="0" w:type="dxa"/>
          <w:right w:w="0" w:type="dxa"/>
        </w:tblCellMar>
      </w:tblPr>
      <w:tr>
        <w:trPr>
          <w:trHeight w:val="145"/>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Canada Corp</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15,482</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6"/>
                <w:szCs w:val="16"/>
                <w:color w:val="auto"/>
              </w:rPr>
            </w:pPr>
          </w:p>
        </w:tc>
        <w:tc>
          <w:tcPr>
            <w:tcW w:w="640" w:type="dxa"/>
            <w:vAlign w:val="bottom"/>
          </w:tcPr>
          <w:p>
            <w:pPr>
              <w:jc w:val="right"/>
              <w:ind w:right="49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15,284</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Financial Canada ULC</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ITG Europe Limited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39,331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39,756</w:t>
            </w: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Financial Ireland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47,872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59,421</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UK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Australia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25,022</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ITG Hong Kong Limited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3,985</w:t>
            </w:r>
          </w:p>
        </w:tc>
        <w:tc>
          <w:tcPr>
            <w:tcW w:w="0" w:type="dxa"/>
            <w:vAlign w:val="bottom"/>
          </w:tcPr>
          <w:p>
            <w:pPr>
              <w:spacing w:after="0"/>
              <w:rPr>
                <w:sz w:val="1"/>
                <w:szCs w:val="1"/>
                <w:color w:val="auto"/>
              </w:rPr>
            </w:pPr>
          </w:p>
        </w:tc>
      </w:tr>
      <w:tr>
        <w:trPr>
          <w:trHeight w:val="182"/>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Singapore Pte Limited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0" w:type="dxa"/>
            <w:vAlign w:val="bottom"/>
          </w:tcPr>
          <w:p>
            <w:pPr>
              <w:spacing w:after="0"/>
              <w:rPr>
                <w:sz w:val="1"/>
                <w:szCs w:val="1"/>
                <w:color w:val="auto"/>
              </w:rPr>
            </w:pPr>
          </w:p>
        </w:tc>
      </w:tr>
    </w:tbl>
    <w:p>
      <w:pPr>
        <w:spacing w:after="0" w:line="336" w:lineRule="exact"/>
        <w:rPr>
          <w:sz w:val="20"/>
          <w:szCs w:val="20"/>
          <w:color w:val="auto"/>
        </w:rPr>
      </w:pPr>
    </w:p>
    <w:p>
      <w:pPr>
        <w:jc w:val="both"/>
        <w:ind w:right="100" w:firstLine="629"/>
        <w:spacing w:after="0" w:line="276" w:lineRule="auto"/>
        <w:rPr>
          <w:sz w:val="20"/>
          <w:szCs w:val="20"/>
          <w:color w:val="auto"/>
        </w:rPr>
      </w:pPr>
      <w:r>
        <w:rPr>
          <w:rFonts w:ascii="Times New Roman" w:cs="Times New Roman" w:eastAsia="Times New Roman" w:hAnsi="Times New Roman"/>
          <w:sz w:val="17"/>
          <w:szCs w:val="17"/>
          <w:color w:val="auto"/>
        </w:rPr>
        <w:t>As of December 31, 2021, Virtu ITG Europe Limited and Virtu ITG Canada Corp had $0.1 million and $0.4 million, respectively, of funds on deposit for trade clearing and settlement activity, and Virtu ITG Hong Kong Ltd had $30 thousand of segregated balances under a collateral account control agreement for the benefit of certain customers.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Geographic Information and Business Segments</w:t>
      </w:r>
    </w:p>
    <w:p>
      <w:pPr>
        <w:spacing w:after="0" w:line="252" w:lineRule="exact"/>
        <w:rPr>
          <w:sz w:val="20"/>
          <w:szCs w:val="20"/>
          <w:color w:val="auto"/>
        </w:rPr>
      </w:pPr>
    </w:p>
    <w:p>
      <w:pPr>
        <w:ind w:right="60" w:firstLine="629"/>
        <w:spacing w:after="0" w:line="264" w:lineRule="auto"/>
        <w:rPr>
          <w:sz w:val="20"/>
          <w:szCs w:val="20"/>
          <w:color w:val="auto"/>
        </w:rPr>
      </w:pPr>
      <w:r>
        <w:rPr>
          <w:rFonts w:ascii="Times New Roman" w:cs="Times New Roman" w:eastAsia="Times New Roman" w:hAnsi="Times New Roman"/>
          <w:sz w:val="17"/>
          <w:szCs w:val="17"/>
          <w:color w:val="auto"/>
        </w:rPr>
        <w:t>The Company operates its business in the U.S. and internationally, primarily in Europe, Asia and Canada.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three months ended March 31, 2022, and 2021</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46" w:lineRule="exact"/>
        <w:rPr>
          <w:sz w:val="20"/>
          <w:szCs w:val="20"/>
          <w:color w:val="auto"/>
        </w:rPr>
      </w:pPr>
    </w:p>
    <w:tbl>
      <w:tblPr>
        <w:tblLayout w:type="fixed"/>
        <w:tblInd w:w="190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549,449</w:t>
            </w:r>
          </w:p>
        </w:tc>
        <w:tc>
          <w:tcPr>
            <w:tcW w:w="12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816,054</w:t>
            </w:r>
          </w:p>
        </w:tc>
        <w:tc>
          <w:tcPr>
            <w:tcW w:w="0" w:type="dxa"/>
            <w:vAlign w:val="bottom"/>
          </w:tcPr>
          <w:p>
            <w:pPr>
              <w:spacing w:after="0"/>
              <w:rPr>
                <w:sz w:val="1"/>
                <w:szCs w:val="1"/>
                <w:color w:val="auto"/>
              </w:rPr>
            </w:pPr>
          </w:p>
        </w:tc>
      </w:tr>
      <w:tr>
        <w:trPr>
          <w:trHeight w:val="204"/>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77,958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121,369</w:t>
            </w: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Singapore</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46,277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42,848</w:t>
            </w:r>
          </w:p>
        </w:tc>
        <w:tc>
          <w:tcPr>
            <w:tcW w:w="0" w:type="dxa"/>
            <w:vAlign w:val="bottom"/>
          </w:tcPr>
          <w:p>
            <w:pPr>
              <w:spacing w:after="0"/>
              <w:rPr>
                <w:sz w:val="1"/>
                <w:szCs w:val="1"/>
                <w:color w:val="auto"/>
              </w:rPr>
            </w:pPr>
          </w:p>
        </w:tc>
      </w:tr>
      <w:tr>
        <w:trPr>
          <w:trHeight w:val="204"/>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17,030</w:t>
            </w: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Australia</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12,667</w:t>
            </w:r>
          </w:p>
        </w:tc>
        <w:tc>
          <w:tcPr>
            <w:tcW w:w="0" w:type="dxa"/>
            <w:vAlign w:val="bottom"/>
          </w:tcPr>
          <w:p>
            <w:pPr>
              <w:spacing w:after="0"/>
              <w:rPr>
                <w:sz w:val="1"/>
                <w:szCs w:val="1"/>
                <w:color w:val="auto"/>
              </w:rPr>
            </w:pPr>
          </w:p>
        </w:tc>
      </w:tr>
      <w:tr>
        <w:trPr>
          <w:trHeight w:val="204"/>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0" w:type="dxa"/>
            <w:vAlign w:val="bottom"/>
          </w:tcPr>
          <w:p>
            <w:pPr>
              <w:spacing w:after="0"/>
              <w:rPr>
                <w:sz w:val="1"/>
                <w:szCs w:val="1"/>
                <w:color w:val="auto"/>
              </w:rPr>
            </w:pPr>
          </w:p>
        </w:tc>
      </w:tr>
      <w:tr>
        <w:trPr>
          <w:trHeight w:val="190"/>
        </w:trPr>
        <w:tc>
          <w:tcPr>
            <w:tcW w:w="4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0" w:type="dxa"/>
            <w:vAlign w:val="bottom"/>
          </w:tcPr>
          <w:p>
            <w:pPr>
              <w:spacing w:after="0"/>
              <w:rPr>
                <w:sz w:val="1"/>
                <w:szCs w:val="1"/>
                <w:color w:val="auto"/>
              </w:rPr>
            </w:pPr>
          </w:p>
        </w:tc>
      </w:tr>
      <w:tr>
        <w:trPr>
          <w:trHeight w:val="221"/>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701,262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1,012,572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has two operating segments: (i) Market Making and (ii) Execution Services; and one non-operating segment: Corporate.</w:t>
      </w:r>
    </w:p>
    <w:p>
      <w:pPr>
        <w:spacing w:after="0" w:line="250" w:lineRule="exact"/>
        <w:rPr>
          <w:sz w:val="20"/>
          <w:szCs w:val="20"/>
          <w:color w:val="auto"/>
        </w:rPr>
      </w:pPr>
    </w:p>
    <w:p>
      <w:pPr>
        <w:ind w:right="120" w:firstLine="629"/>
        <w:spacing w:after="0" w:line="267" w:lineRule="auto"/>
        <w:rPr>
          <w:sz w:val="20"/>
          <w:szCs w:val="20"/>
          <w:color w:val="auto"/>
        </w:rPr>
      </w:pPr>
      <w:r>
        <w:rPr>
          <w:rFonts w:ascii="Times New Roman" w:cs="Times New Roman" w:eastAsia="Times New Roman" w:hAnsi="Times New Roman"/>
          <w:sz w:val="17"/>
          <w:szCs w:val="17"/>
          <w:color w:val="auto"/>
        </w:rPr>
        <w:t>The Market Making segment principally consists of market making in the cash, futures and options markets across global equities, fixed income, 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Electronic Communications Networks ("ECNs") and alternative trading systems ("ATSs"). The Company is an active participant on all major global equity and futures exchanges and also trades on substantially all domestic electronic options exchanges. As a</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500"/>
        <w:spacing w:after="0" w:line="296" w:lineRule="auto"/>
        <w:rPr>
          <w:sz w:val="20"/>
          <w:szCs w:val="20"/>
          <w:color w:val="auto"/>
        </w:rPr>
      </w:pPr>
      <w:r>
        <w:rPr>
          <w:rFonts w:ascii="Times New Roman" w:cs="Times New Roman" w:eastAsia="Times New Roman" w:hAnsi="Times New Roman"/>
          <w:sz w:val="17"/>
          <w:szCs w:val="17"/>
          <w:color w:val="auto"/>
        </w:rPr>
        <w:t>complement to electronic market making, the cash trading business handles specialized orders and also transacts on the OTC Link ATS operated by OTC Markets Group Inc.</w:t>
      </w:r>
    </w:p>
    <w:p>
      <w:pPr>
        <w:spacing w:after="0" w:line="173" w:lineRule="exact"/>
        <w:rPr>
          <w:sz w:val="20"/>
          <w:szCs w:val="20"/>
          <w:color w:val="auto"/>
        </w:rPr>
      </w:pPr>
    </w:p>
    <w:p>
      <w:pPr>
        <w:ind w:right="20" w:firstLine="629"/>
        <w:spacing w:after="0" w:line="260" w:lineRule="auto"/>
        <w:rPr>
          <w:sz w:val="20"/>
          <w:szCs w:val="20"/>
          <w:color w:val="auto"/>
        </w:rPr>
      </w:pPr>
      <w:r>
        <w:rPr>
          <w:rFonts w:ascii="Times New Roman" w:cs="Times New Roman" w:eastAsia="Times New Roman" w:hAnsi="Times New Roman"/>
          <w:sz w:val="17"/>
          <w:szCs w:val="17"/>
          <w:color w:val="auto"/>
        </w:rPr>
        <w:t>The Execution Services segment comprises client-based trading and trading venues, offering execution services in global equities, options, futures and fixed income on behalf of institutions, banks and broker-dealers. The Company earns commissions and commission equivalents as an agent on behalf of clients as well as between principals to transactions; in addition, the Company will commit capital on behalf of clients as needed. Client-based,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conditional orders in POSIT Alert and client orders in the Company's ATSs, including Virtu MatchIt, and POSIT.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 The segment also includes the results of the Company's capital markets business, in which the Company acts as an agent for issuers in connection with at-the-market offerings and buyback programs.</w:t>
      </w:r>
    </w:p>
    <w:p>
      <w:pPr>
        <w:spacing w:after="0" w:line="209" w:lineRule="exact"/>
        <w:rPr>
          <w:sz w:val="20"/>
          <w:szCs w:val="20"/>
          <w:color w:val="auto"/>
        </w:rPr>
      </w:pPr>
    </w:p>
    <w:p>
      <w:pPr>
        <w:ind w:right="240" w:firstLine="629"/>
        <w:spacing w:after="0" w:line="296" w:lineRule="auto"/>
        <w:rPr>
          <w:sz w:val="20"/>
          <w:szCs w:val="20"/>
          <w:color w:val="auto"/>
        </w:rPr>
      </w:pPr>
      <w:r>
        <w:rPr>
          <w:rFonts w:ascii="Times New Roman" w:cs="Times New Roman" w:eastAsia="Times New Roman" w:hAnsi="Times New Roman"/>
          <w:sz w:val="17"/>
          <w:szCs w:val="17"/>
          <w:color w:val="auto"/>
        </w:rPr>
        <w:t>The Corporate segment contains the Company's investments, principally in strategic trading-related opportunities and maintains corporate overhead expenses and all other income and expenses that are not attributable to the Company's other segments.</w:t>
      </w:r>
    </w:p>
    <w:p>
      <w:pPr>
        <w:spacing w:after="0" w:line="173" w:lineRule="exact"/>
        <w:rPr>
          <w:sz w:val="20"/>
          <w:szCs w:val="20"/>
          <w:color w:val="auto"/>
        </w:rPr>
      </w:pPr>
    </w:p>
    <w:p>
      <w:pPr>
        <w:ind w:right="180" w:firstLine="629"/>
        <w:spacing w:after="0" w:line="276" w:lineRule="auto"/>
        <w:rPr>
          <w:sz w:val="20"/>
          <w:szCs w:val="20"/>
          <w:color w:val="auto"/>
        </w:rPr>
      </w:pPr>
      <w:r>
        <w:rPr>
          <w:rFonts w:ascii="Times New Roman" w:cs="Times New Roman" w:eastAsia="Times New Roman" w:hAnsi="Times New Roman"/>
          <w:sz w:val="17"/>
          <w:szCs w:val="17"/>
          <w:color w:val="auto"/>
        </w:rPr>
        <w:t>Management evaluates the performance of its segments on a pre-tax basis. Segment assets and liabilities are not used for evaluating segment performance or in deciding how to allocate resources to segments. The Company’s total revenues and income before income taxes and noncontrolling interest (“Pre-tax earnings”) by segment for the three months ended March 31, 2022 and 2021 and are summarized in the following table:</w:t>
      </w:r>
    </w:p>
    <w:p>
      <w:pPr>
        <w:spacing w:after="0" w:line="1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Company's Pre-tax earnings by segment for the three months ended March 31, 2022, and 2021 are summarized in the following table:</w:t>
      </w:r>
    </w:p>
    <w:p>
      <w:pPr>
        <w:spacing w:after="0" w:line="6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Consolidated Total</w:t>
            </w:r>
          </w:p>
        </w:tc>
      </w:tr>
      <w:tr>
        <w:trPr>
          <w:trHeight w:val="23"/>
        </w:trPr>
        <w:tc>
          <w:tcPr>
            <w:tcW w:w="4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3"/>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546,561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701,262</w:t>
            </w:r>
          </w:p>
        </w:tc>
      </w:tr>
      <w:tr>
        <w:trPr>
          <w:trHeight w:val="189"/>
        </w:trPr>
        <w:tc>
          <w:tcPr>
            <w:tcW w:w="4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1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241,711</w:t>
            </w:r>
          </w:p>
        </w:tc>
      </w:tr>
      <w:tr>
        <w:trPr>
          <w:trHeight w:val="217"/>
        </w:trPr>
        <w:tc>
          <w:tcPr>
            <w:tcW w:w="4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0"/>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3"/>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1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823,724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1,012,572</w:t>
            </w:r>
          </w:p>
        </w:tc>
      </w:tr>
      <w:tr>
        <w:trPr>
          <w:trHeight w:val="182"/>
        </w:trPr>
        <w:tc>
          <w:tcPr>
            <w:tcW w:w="4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14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453,277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40,351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489,787</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Related Party Transactions</w:t>
      </w:r>
    </w:p>
    <w:p>
      <w:pPr>
        <w:spacing w:after="0" w:line="252" w:lineRule="exact"/>
        <w:rPr>
          <w:sz w:val="20"/>
          <w:szCs w:val="20"/>
          <w:color w:val="auto"/>
        </w:rPr>
      </w:pPr>
    </w:p>
    <w:p>
      <w:pPr>
        <w:ind w:right="180" w:firstLine="629"/>
        <w:spacing w:after="0" w:line="296" w:lineRule="auto"/>
        <w:rPr>
          <w:sz w:val="20"/>
          <w:szCs w:val="20"/>
          <w:color w:val="auto"/>
        </w:rPr>
      </w:pPr>
      <w:r>
        <w:rPr>
          <w:rFonts w:ascii="Times New Roman" w:cs="Times New Roman" w:eastAsia="Times New Roman" w:hAnsi="Times New Roman"/>
          <w:sz w:val="17"/>
          <w:szCs w:val="17"/>
          <w:color w:val="auto"/>
        </w:rPr>
        <w:t>The Company incurs expenses and maintains balances with its affiliates in the ordinary course of business. As of March 31, 2022, and December 31, 2021 the Company had net payables to its affiliates of $4.2 million and net receivables from its affiliates of $2.2 million, respectively.</w:t>
      </w:r>
    </w:p>
    <w:p>
      <w:pPr>
        <w:spacing w:after="0" w:line="173"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The Company has held a minority interest in JNX since 2016 (see Note 9 "Financial Assets and Liabilities"). The Company pays exchange fees to JNX for the trading activities conducted on its proprietary trading system. The Company paid $3.8 million and $2.9 million for the three months ended March 31, 2022 and 2021, respectively, to JNX for these trading activities.</w:t>
      </w:r>
    </w:p>
    <w:p>
      <w:pPr>
        <w:spacing w:after="0" w:line="190"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The Company makes payments to two JVs (see Note 11 "Variable Interest Entities") to fund the construction of the microwave communication networks, and to purchase microwave communication networks, which are recorded within Communications and data processing on the Condensed Consolidated Statements of Comprehensive Income. The Company made payments of $5.5 million and $4.7 million for the three months ended March 31, 2022 and 2021, respectively, to these JVs.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The Company purchases network connections services from affiliates of Level 3 Communications (“Level 3”). Temasek and its affiliates have a significant ownership interest in Level 3. The Company paid $0.2 million and $0.5 million for the three months ended March 31, 2022 and 2021, respectively, to Level 3 for these services.</w:t>
      </w:r>
    </w:p>
    <w:p>
      <w:pPr>
        <w:spacing w:after="0" w:line="190" w:lineRule="exact"/>
        <w:rPr>
          <w:sz w:val="20"/>
          <w:szCs w:val="20"/>
          <w:color w:val="auto"/>
        </w:rPr>
      </w:pPr>
    </w:p>
    <w:p>
      <w:pPr>
        <w:ind w:right="320" w:firstLine="629"/>
        <w:spacing w:after="0" w:line="296" w:lineRule="auto"/>
        <w:rPr>
          <w:sz w:val="20"/>
          <w:szCs w:val="20"/>
          <w:color w:val="auto"/>
        </w:rPr>
      </w:pPr>
      <w:r>
        <w:rPr>
          <w:rFonts w:ascii="Times New Roman" w:cs="Times New Roman" w:eastAsia="Times New Roman" w:hAnsi="Times New Roman"/>
          <w:sz w:val="17"/>
          <w:szCs w:val="17"/>
          <w:color w:val="auto"/>
        </w:rPr>
        <w:t>The Company makes commission-sharing arrangement ("CSA") payments to affiliates of DBS Group Holdings ("DBS"). Temasek and its affiliates have a significant ownership interest in DBS. Payments made for the three months ended March 31, 2022 and 2021 were immaterial.</w:t>
      </w:r>
    </w:p>
    <w:p>
      <w:pPr>
        <w:spacing w:after="0" w:line="173" w:lineRule="exact"/>
        <w:rPr>
          <w:sz w:val="20"/>
          <w:szCs w:val="20"/>
          <w:color w:val="auto"/>
        </w:rPr>
      </w:pPr>
    </w:p>
    <w:p>
      <w:pPr>
        <w:ind w:right="200" w:firstLine="629"/>
        <w:spacing w:after="0" w:line="296" w:lineRule="auto"/>
        <w:rPr>
          <w:sz w:val="20"/>
          <w:szCs w:val="20"/>
          <w:color w:val="auto"/>
        </w:rPr>
      </w:pPr>
      <w:r>
        <w:rPr>
          <w:rFonts w:ascii="Times New Roman" w:cs="Times New Roman" w:eastAsia="Times New Roman" w:hAnsi="Times New Roman"/>
          <w:sz w:val="17"/>
          <w:szCs w:val="17"/>
          <w:color w:val="auto"/>
        </w:rPr>
        <w:t>The Company has an interest in Members Exchange, a member-owned equities exchange. The Company pays regulatory and transaction fees and receives rebates from trading activities. The Company received rebates of $6.7 million and $3.6 million for the three months ended March 31, 2022 and 2021.</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Subsequent Events</w:t>
      </w:r>
    </w:p>
    <w:p>
      <w:pPr>
        <w:spacing w:after="0" w:line="252" w:lineRule="exact"/>
        <w:rPr>
          <w:sz w:val="20"/>
          <w:szCs w:val="20"/>
          <w:color w:val="auto"/>
        </w:rPr>
      </w:pPr>
    </w:p>
    <w:p>
      <w:pPr>
        <w:ind w:right="120" w:firstLine="629"/>
        <w:spacing w:after="0" w:line="276" w:lineRule="auto"/>
        <w:rPr>
          <w:sz w:val="20"/>
          <w:szCs w:val="20"/>
          <w:color w:val="auto"/>
        </w:rPr>
      </w:pPr>
      <w:r>
        <w:rPr>
          <w:rFonts w:ascii="Times New Roman" w:cs="Times New Roman" w:eastAsia="Times New Roman" w:hAnsi="Times New Roman"/>
          <w:sz w:val="17"/>
          <w:szCs w:val="17"/>
          <w:color w:val="auto"/>
        </w:rPr>
        <w:t>The Company has evaluated subsequent events for adjustment to or disclosure in its condensed consolidated financial statements through the date of this report, and has not identified any recordable or disclosable events, not otherwise reported in these condensed consolidated financial statements or the notes thereto, except for the following:</w:t>
      </w:r>
    </w:p>
    <w:p>
      <w:pPr>
        <w:spacing w:after="0" w:line="190" w:lineRule="exact"/>
        <w:rPr>
          <w:sz w:val="20"/>
          <w:szCs w:val="20"/>
          <w:color w:val="auto"/>
        </w:rPr>
      </w:pPr>
    </w:p>
    <w:p>
      <w:pPr>
        <w:jc w:val="both"/>
        <w:ind w:right="140" w:firstLine="629"/>
        <w:spacing w:after="0" w:line="264" w:lineRule="auto"/>
        <w:rPr>
          <w:sz w:val="20"/>
          <w:szCs w:val="20"/>
          <w:color w:val="auto"/>
        </w:rPr>
      </w:pPr>
      <w:r>
        <w:rPr>
          <w:rFonts w:ascii="Times New Roman" w:cs="Times New Roman" w:eastAsia="Times New Roman" w:hAnsi="Times New Roman"/>
          <w:sz w:val="17"/>
          <w:szCs w:val="17"/>
          <w:color w:val="auto"/>
        </w:rPr>
        <w:t>On April 22, 2022,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w:t>
      </w:r>
    </w:p>
    <w:p>
      <w:pPr>
        <w:spacing w:after="0" w:line="2"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21,000,000 shares of Class A Common Stock to an aggregate of 26,000,000 shares of Class A Common Stock, and the amendment is subject to the approval of the Company’s shareholders at the Company's annual meeting of stockholders on June 2, 2022.</w:t>
      </w:r>
    </w:p>
    <w:p>
      <w:pPr>
        <w:spacing w:after="0" w:line="191" w:lineRule="exact"/>
        <w:rPr>
          <w:sz w:val="20"/>
          <w:szCs w:val="20"/>
          <w:color w:val="auto"/>
        </w:rPr>
      </w:pPr>
    </w:p>
    <w:p>
      <w:pPr>
        <w:ind w:right="200" w:firstLine="629"/>
        <w:spacing w:after="0" w:line="296" w:lineRule="auto"/>
        <w:rPr>
          <w:sz w:val="20"/>
          <w:szCs w:val="20"/>
          <w:color w:val="auto"/>
        </w:rPr>
      </w:pPr>
      <w:r>
        <w:rPr>
          <w:rFonts w:ascii="Times New Roman" w:cs="Times New Roman" w:eastAsia="Times New Roman" w:hAnsi="Times New Roman"/>
          <w:sz w:val="17"/>
          <w:szCs w:val="17"/>
          <w:color w:val="auto"/>
        </w:rPr>
        <w:t>On April 28, 2022, the Company’s Board of Directors declared a dividend of $0.24 per share of Class A Common Stock and Class B Common Stock and per participating Restricted Stock Unit and Restricted Stock Award that will be paid on June 15, 2022 to holders of record as of June 1, 2022.</w:t>
      </w:r>
    </w:p>
    <w:p>
      <w:pPr>
        <w:spacing w:after="0" w:line="173" w:lineRule="exact"/>
        <w:rPr>
          <w:sz w:val="20"/>
          <w:szCs w:val="20"/>
          <w:color w:val="auto"/>
        </w:rPr>
      </w:pPr>
    </w:p>
    <w:p>
      <w:pPr>
        <w:ind w:right="100" w:firstLine="629"/>
        <w:spacing w:after="0" w:line="289" w:lineRule="auto"/>
        <w:rPr>
          <w:sz w:val="20"/>
          <w:szCs w:val="20"/>
          <w:color w:val="auto"/>
        </w:rPr>
      </w:pPr>
      <w:r>
        <w:rPr>
          <w:rFonts w:ascii="Times New Roman" w:cs="Times New Roman" w:eastAsia="Times New Roman" w:hAnsi="Times New Roman"/>
          <w:sz w:val="17"/>
          <w:szCs w:val="17"/>
          <w:color w:val="auto"/>
        </w:rPr>
        <w:t>On May 2, 2022, the Company sold its strategic minority investment in Eris Digital Holdings, LLC ("ErisX"), an operator of a U.S. based digital asset spot market, a regulated futures exchange and a regulated clearinghouse to Cboe Global Markets, Inc. ("CBOE") in connection with CBOE's acquisition of ErisX.</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8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i w:val="1"/>
          <w:iCs w:val="1"/>
          <w:color w:val="auto"/>
        </w:rPr>
        <w:t>The following management’s discussion and analysis covers the three months ended March 31, 2022 and 2021 and should be read in conjunction with the condensed consolidated financial statements of Virtu Financial, Inc. (the Company") for the period ended March 31, 2022, which are in Part 1, Item 1 of this Quarterly Report on Form 10-Q, and the audited consolidated financial statements and accompanying notes and MD&amp;A for the year ended December 31, 2021, which are included in Items 8 and 7 respectively, of the Company's Annual Report on Form 10-K for the year ended December 31, 2021. This management's discussion and analysis contains forward-looking statements that involve risks and uncertainties. Our actual results could differ materially from those discussed below. Unless otherwise stated, all amounts are presented in thousands of dollars.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21" w:lineRule="exact"/>
        <w:rPr>
          <w:sz w:val="20"/>
          <w:szCs w:val="20"/>
          <w:color w:val="auto"/>
        </w:rPr>
      </w:pPr>
    </w:p>
    <w:p>
      <w:pPr>
        <w:ind w:firstLine="629"/>
        <w:spacing w:after="0" w:line="259"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Quarterly Report on Form 10-Q. By their nature, forward-looking statements involve known and unknown risks and uncertainties, including those described under the heading “Risk Factors” in our Annual Report on Form 10-K for the year ended December 31, 2021, as filed with the Securities and Exchange Commission ("SEC") on February 18, 2022 (the "2021 Form 10-K"), because they relate to events and depend on circumstances that may or may not occur in the future. Although we believe that the forward-looking statements contained in this Quarterly Report on Form 10-Q are based on reasonable assumptions, you should be aware that many factors, including those described under the heading “Risk Factors” in our 2021 Form 10-K, could affect our actual financial results or results of operations and cash flows, and could cause actual results to differ materially from those in such forward-looking statements, including but not limited to:</w:t>
      </w:r>
    </w:p>
    <w:p>
      <w:pPr>
        <w:spacing w:after="0" w:line="83" w:lineRule="exact"/>
        <w:rPr>
          <w:sz w:val="20"/>
          <w:szCs w:val="20"/>
          <w:color w:val="auto"/>
        </w:rPr>
      </w:pPr>
    </w:p>
    <w:p>
      <w:pPr>
        <w:ind w:left="940" w:right="260" w:hanging="149"/>
        <w:spacing w:after="0" w:line="270"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continuing impacts of COVID-19 and the governmental and other responses thereto, including but not limited to the risk of employees and executives contracting COVID-19 and the deployment of our business continuity plan pursuant to which a significant number of our employees may work remotely and our return to office plan, each of which may increase operational risk, as well as increases in market, counterparty and other forms of operational risk;</w:t>
      </w:r>
    </w:p>
    <w:p>
      <w:pPr>
        <w:spacing w:after="0" w:line="63"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levels of overall trading activity;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upon trading counterparties and clearing houses performing their obligations to us;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failures of our customized trading platform;</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inherent to the electronic market making business and trading generally;</w:t>
      </w:r>
    </w:p>
    <w:p>
      <w:pPr>
        <w:spacing w:after="0" w:line="105" w:lineRule="exact"/>
        <w:rPr>
          <w:rFonts w:ascii="Times New Roman" w:cs="Times New Roman" w:eastAsia="Times New Roman" w:hAnsi="Times New Roman"/>
          <w:sz w:val="17"/>
          <w:szCs w:val="17"/>
          <w:color w:val="auto"/>
        </w:rPr>
      </w:pPr>
    </w:p>
    <w:p>
      <w:pPr>
        <w:ind w:left="940" w:right="140" w:hanging="149"/>
        <w:spacing w:after="0" w:line="253"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enhanced regulatory, congressional, and media scrutiny, including attention to electronic trading, wholesale market making and off-exchange trading, payment for order flow, and other market structure topics and both the impact of potential changes in regulation or law which could have an adverse effect on our business as well as the potential impact upon public perception of us or of companies in our industry;</w:t>
      </w:r>
    </w:p>
    <w:p>
      <w:pPr>
        <w:spacing w:after="0" w:line="2"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in market making activities and execution services;</w:t>
      </w:r>
    </w:p>
    <w:p>
      <w:pPr>
        <w:spacing w:after="0" w:line="100"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continued access to sources of liquidity;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self-clearing and other operational elements of our business, including but limited to risks related to funding and liquidity;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to comply with applicable regulatory capital requirements;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other legal and regulatory-based liabilities;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left="940" w:right="380" w:hanging="149"/>
        <w:spacing w:after="0" w:line="276"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spacing w:after="0" w:line="59"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to comply with laws and regulations applicable to our operations in the U.S. and abroad;</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need to maintain and continue developing proprietary technologies;</w:t>
      </w:r>
    </w:p>
    <w:p>
      <w:pPr>
        <w:spacing w:after="0" w:line="118" w:lineRule="exact"/>
        <w:rPr>
          <w:rFonts w:ascii="Times New Roman" w:cs="Times New Roman" w:eastAsia="Times New Roman" w:hAnsi="Times New Roman"/>
          <w:sz w:val="17"/>
          <w:szCs w:val="17"/>
          <w:color w:val="auto"/>
        </w:rPr>
      </w:pPr>
    </w:p>
    <w:p>
      <w:pPr>
        <w:ind w:left="940" w:right="700" w:hanging="149"/>
        <w:spacing w:after="0" w:line="296"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the Acquisition of KCG and the ITG Acquisition (as defined below) on ongoing business operations generally, including the assumption of potential liabilities and risks relating to these historical acquisitions;</w:t>
      </w:r>
    </w:p>
    <w:p>
      <w:pPr>
        <w:spacing w:after="0" w:line="41"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capacity constraints, system failures, and delays;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third-party infrastructure or systems;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of open source software;</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or enforce our intellectual property rights in our proprietary technology;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confidential and proprietary information;</w:t>
      </w:r>
    </w:p>
    <w:p>
      <w:pPr>
        <w:spacing w:after="0" w:line="118" w:lineRule="exact"/>
        <w:rPr>
          <w:rFonts w:ascii="Times New Roman" w:cs="Times New Roman" w:eastAsia="Times New Roman" w:hAnsi="Times New Roman"/>
          <w:sz w:val="17"/>
          <w:szCs w:val="17"/>
          <w:color w:val="auto"/>
        </w:rPr>
      </w:pPr>
    </w:p>
    <w:p>
      <w:pPr>
        <w:ind w:left="940" w:right="260" w:hanging="149"/>
        <w:spacing w:after="0" w:line="296"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our systems from internal or external cyber threats that could result in damage to our computer systems, business interruption, loss of data, monetary payment demands or other consequences;</w:t>
      </w:r>
    </w:p>
    <w:p>
      <w:pPr>
        <w:spacing w:after="0" w:line="41"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international operations and expansion, including failed acquisitions or dispositions;</w:t>
      </w:r>
    </w:p>
    <w:p>
      <w:pPr>
        <w:spacing w:after="0" w:line="118" w:lineRule="exact"/>
        <w:rPr>
          <w:rFonts w:ascii="Times New Roman" w:cs="Times New Roman" w:eastAsia="Times New Roman" w:hAnsi="Times New Roman"/>
          <w:sz w:val="17"/>
          <w:szCs w:val="17"/>
          <w:color w:val="auto"/>
        </w:rPr>
      </w:pPr>
    </w:p>
    <w:p>
      <w:pPr>
        <w:ind w:left="940" w:right="120" w:hanging="149"/>
        <w:spacing w:after="0" w:line="270"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and changes in economic conditions (such as volatility in the financial markets, inflation, monetary conditions and foreign currency and exchange rate fluctuations, foreign currency controls and/or government mandated pricing controls, as well as in trade, monetary, fiscal and tax policies in international markets), political conditions (such as military actions and terrorist activities), and other global events such as fires, geopolitical conflicts, natural disasters, pandemics or extreme weather;</w:t>
      </w:r>
    </w:p>
    <w:p>
      <w:pPr>
        <w:spacing w:after="0" w:line="63"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potential growth and associated corporate actions;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access, or delay in accessing the capital markets to sell shares or raise additional capital;</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executives and failure to recruit and retain qualified personnel; and</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losing access to a significant exchange or other trading venue.</w:t>
      </w:r>
    </w:p>
    <w:p>
      <w:pPr>
        <w:spacing w:after="0" w:line="250"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Our forward-looking statements made herein are made only as of the date of this Quarterly Report on Form 10-Q.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spacing w:after="0" w:line="194" w:lineRule="exact"/>
        <w:rPr>
          <w:sz w:val="20"/>
          <w:szCs w:val="20"/>
          <w:color w:val="auto"/>
        </w:rPr>
      </w:pPr>
    </w:p>
    <w:p>
      <w:pPr>
        <w:ind w:right="240" w:firstLine="629"/>
        <w:spacing w:after="0" w:line="276" w:lineRule="auto"/>
        <w:rPr>
          <w:sz w:val="20"/>
          <w:szCs w:val="20"/>
          <w:color w:val="auto"/>
        </w:rPr>
      </w:pPr>
      <w:r>
        <w:rPr>
          <w:rFonts w:ascii="Times New Roman" w:cs="Times New Roman" w:eastAsia="Times New Roman" w:hAnsi="Times New Roman"/>
          <w:sz w:val="17"/>
          <w:szCs w:val="17"/>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52"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with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foreign exchange, futures, fixed income, cryptocurrencies and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spacing w:after="0" w:line="200" w:lineRule="exact"/>
        <w:rPr>
          <w:sz w:val="20"/>
          <w:szCs w:val="20"/>
          <w:color w:val="auto"/>
        </w:rPr>
      </w:pPr>
    </w:p>
    <w:p>
      <w:pPr>
        <w:spacing w:after="0" w:line="215" w:lineRule="exact"/>
        <w:rPr>
          <w:sz w:val="20"/>
          <w:szCs w:val="20"/>
          <w:color w:val="auto"/>
        </w:rPr>
      </w:pPr>
    </w:p>
    <w:p>
      <w:pPr>
        <w:ind w:right="40" w:firstLine="629"/>
        <w:spacing w:after="0" w:line="296" w:lineRule="auto"/>
        <w:rPr>
          <w:sz w:val="20"/>
          <w:szCs w:val="20"/>
          <w:color w:val="auto"/>
        </w:rPr>
      </w:pPr>
      <w:r>
        <w:rPr>
          <w:rFonts w:ascii="Times New Roman" w:cs="Times New Roman" w:eastAsia="Times New Roman" w:hAnsi="Times New Roman"/>
          <w:sz w:val="17"/>
          <w:szCs w:val="17"/>
          <w:color w:val="auto"/>
        </w:rPr>
        <w:t>Technology and operational efficiency are at the core of our business, and our focus on technology is a key element of our success. We have developed a proprietary, multi-asset, multi-currency technology platform that is highly reliable, scalable</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third-party licensing or processing fees.</w:t>
      </w:r>
    </w:p>
    <w:p>
      <w:pPr>
        <w:spacing w:after="0" w:line="194" w:lineRule="exact"/>
        <w:rPr>
          <w:sz w:val="20"/>
          <w:szCs w:val="20"/>
          <w:color w:val="auto"/>
        </w:rPr>
      </w:pPr>
    </w:p>
    <w:p>
      <w:pPr>
        <w:ind w:right="20" w:firstLine="629"/>
        <w:spacing w:after="0" w:line="274" w:lineRule="auto"/>
        <w:rPr>
          <w:sz w:val="20"/>
          <w:szCs w:val="20"/>
          <w:color w:val="auto"/>
        </w:rPr>
      </w:pPr>
      <w:r>
        <w:rPr>
          <w:rFonts w:ascii="Times New Roman" w:cs="Times New Roman" w:eastAsia="Times New Roman" w:hAnsi="Times New Roman"/>
          <w:sz w:val="17"/>
          <w:szCs w:val="17"/>
          <w:color w:val="auto"/>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invest, transfer risk and analyze the quality of executions. We believe that market participants benefit from the increased liquidity, lower overall trading costs and execution transparency that Virtu provides.</w:t>
      </w:r>
    </w:p>
    <w:p>
      <w:pPr>
        <w:spacing w:after="0" w:line="200" w:lineRule="exact"/>
        <w:rPr>
          <w:sz w:val="20"/>
          <w:szCs w:val="20"/>
          <w:color w:val="auto"/>
        </w:rPr>
      </w:pPr>
    </w:p>
    <w:p>
      <w:pPr>
        <w:spacing w:after="0" w:line="205"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spacing w:after="0" w:line="194" w:lineRule="exact"/>
        <w:rPr>
          <w:sz w:val="20"/>
          <w:szCs w:val="20"/>
          <w:color w:val="auto"/>
        </w:rPr>
      </w:pPr>
    </w:p>
    <w:p>
      <w:pPr>
        <w:ind w:right="420" w:firstLine="629"/>
        <w:spacing w:after="0" w:line="296" w:lineRule="auto"/>
        <w:rPr>
          <w:sz w:val="20"/>
          <w:szCs w:val="20"/>
          <w:color w:val="auto"/>
        </w:rPr>
      </w:pPr>
      <w:r>
        <w:rPr>
          <w:rFonts w:ascii="Times New Roman" w:cs="Times New Roman" w:eastAsia="Times New Roman" w:hAnsi="Times New Roman"/>
          <w:sz w:val="17"/>
          <w:szCs w:val="17"/>
          <w:color w:val="auto"/>
        </w:rPr>
        <w:t>We have two operating segments: Market Making and Execution Services, and one non-operating segment: Corporate. Our management allocates resources, assesses performance and manages our business according to these segments.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Making</w:t>
      </w:r>
    </w:p>
    <w:p>
      <w:pPr>
        <w:spacing w:after="0" w:line="254"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We leverage cutting edge technology to provide competitive and deep liquidity that helps to create more efficient markets around the world. As a market maker and liquidity provider, we stand ready, at any time, to buy or sell a broad range of securities and other financial instruments, and we generate profits by buying and selling large volumes of securities and other financial instruments and earning small bid/ask spreads. Our market structure expertise, broad diversification, and scalable execution technology enable us to provide competitive bids and offers in over 25,000 securities and other financial instruments, on over 235 venues, in 36 countries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spacing w:after="0" w:line="203" w:lineRule="exact"/>
        <w:rPr>
          <w:sz w:val="20"/>
          <w:szCs w:val="20"/>
          <w:color w:val="auto"/>
        </w:rPr>
      </w:pPr>
    </w:p>
    <w:p>
      <w:pPr>
        <w:ind w:right="300" w:firstLine="629"/>
        <w:spacing w:after="0" w:line="276" w:lineRule="auto"/>
        <w:rPr>
          <w:sz w:val="20"/>
          <w:szCs w:val="20"/>
          <w:color w:val="auto"/>
        </w:rPr>
      </w:pPr>
      <w:r>
        <w:rPr>
          <w:rFonts w:ascii="Times New Roman" w:cs="Times New Roman" w:eastAsia="Times New Roman" w:hAnsi="Times New Roman"/>
          <w:sz w:val="17"/>
          <w:szCs w:val="17"/>
          <w:color w:val="auto"/>
        </w:rPr>
        <w:t>We believe the overall level of volumes and realized volatility in the various markets we serve have the greatest impact on our market making businesses. Increases in market volatility can cause bid/ask spreads to widen as market participants are more willing to pay market makers like us to transact immediately and as a result, market makers' capture rate per notional amount transacted increases.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Execution Services</w:t>
      </w:r>
    </w:p>
    <w:p>
      <w:pPr>
        <w:spacing w:after="0" w:line="254"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We offer client execution services and trading venues that provide transparent trading in global equities, ETFs, fixed income, currencies, and commodities to institutions, banks and broker-dealers. We generally earn commissions when transacting as an agent for our clients. Client-based, execution-only trading within this segment is done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ATSs, including Virtu MatchIt and POSIT.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 The segment also includes the results of our capital markets business, in which we act as an agent for issuers in connection with at-the-market offerings and buyback programs.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w:t>
      </w:r>
    </w:p>
    <w:p>
      <w:pPr>
        <w:spacing w:after="0" w:line="254" w:lineRule="exact"/>
        <w:rPr>
          <w:sz w:val="20"/>
          <w:szCs w:val="20"/>
          <w:color w:val="auto"/>
        </w:rPr>
      </w:pPr>
    </w:p>
    <w:p>
      <w:pPr>
        <w:ind w:right="600" w:firstLine="629"/>
        <w:spacing w:after="0" w:line="296" w:lineRule="auto"/>
        <w:rPr>
          <w:sz w:val="20"/>
          <w:szCs w:val="20"/>
          <w:color w:val="auto"/>
        </w:rPr>
      </w:pPr>
      <w:r>
        <w:rPr>
          <w:rFonts w:ascii="Times New Roman" w:cs="Times New Roman" w:eastAsia="Times New Roman" w:hAnsi="Times New Roman"/>
          <w:sz w:val="17"/>
          <w:szCs w:val="17"/>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Acquisition of ITG</w:t>
      </w:r>
    </w:p>
    <w:p>
      <w:pPr>
        <w:spacing w:after="0" w:line="252" w:lineRule="exact"/>
        <w:rPr>
          <w:sz w:val="20"/>
          <w:szCs w:val="20"/>
          <w:color w:val="auto"/>
        </w:rPr>
      </w:pPr>
    </w:p>
    <w:p>
      <w:pPr>
        <w:ind w:firstLine="629"/>
        <w:spacing w:after="0" w:line="259" w:lineRule="auto"/>
        <w:rPr>
          <w:sz w:val="20"/>
          <w:szCs w:val="20"/>
          <w:color w:val="auto"/>
        </w:rPr>
      </w:pPr>
      <w:r>
        <w:rPr>
          <w:rFonts w:ascii="Times New Roman" w:cs="Times New Roman" w:eastAsia="Times New Roman" w:hAnsi="Times New Roman"/>
          <w:sz w:val="17"/>
          <w:szCs w:val="17"/>
          <w:color w:val="auto"/>
        </w:rPr>
        <w:t>On March 1, 2019, the "ITG Closing Date", we announced the completion of Investment Technology Group, Inc. and its subsidiaries ("ITG") in an all-cash transaction (the "ITG Acquisition"). In connection with the ITG Acquisition, Virtu Financial, VFH Parent LLC, a Delaware limited liability company and a subsidiary of Virtu Financial ("VFH"), and Impala Borrower LLC (the "Acquisition Borrower"), a subsidiary of the Company, entered into the Credit Agreement, with the lenders party thereto, Jefferies Finance LLC, as administrative agent and Jefferies Finance LLC and RBC Capital Markets, as joint lead arrangers and joint bookrunners (the "Acquisition Credit Agreement"). The Acquisition Credit Agreement provided (i) a senior secured first lien term loan (together with the Acquisition Incremental Term Loans, as defined below; the "Acquisition First Lien Term Loan Facility") in an aggregate principal amount of $1,500.0 million, drawn in its entirety on the ITG Closing Date, of which approximately $404.5 million was borrowed by VFH to repay all amounts outstanding under a previous term loan facility and the remaining approximately $1,095.0 million borrowed by the Acquisition Borrower to finance the consideration and fees and expenses paid in connection with the ITG Acquisition, and (ii) a $50.0 million senior secured first lien revolving facility to VFH (the "Acquisition First Lien Revolving Facility"), with a $5.0 million letter of credit subfacility and a $5.0 million swingline subfacility. After the ITG Closing Date, VFH assumed the obligations of the Acquisition Borrower in respect of the acquisition term loans. On October 9, 2019, VFH entered into an amendment (“Amendment No. 1”), which amended the Acquisition Credit Agreement dated as of March 1, 2019, to, among other things, provide for $525.0 million in aggregate principal amount of incremental term loans (the “Acquisition Incremental Term Loans”), and amend the related collateral agreement. On March 2, 2020, VFH entered into a second amendment (“Amendment No. 2”), which further amended the Acquisition Credit Agreement to, among other things, reduce the interest rate spread over adjusted LIBOR or the alternate base rate by 0.50% per annum and eliminated any step-down in the spread based on VFH's first lien leverage ratio. There were no outstanding borrowings under the Acquisition Credit Agreement as of March 31, 2022.</w:t>
      </w:r>
    </w:p>
    <w:p>
      <w:pPr>
        <w:spacing w:after="0" w:line="201" w:lineRule="exact"/>
        <w:rPr>
          <w:sz w:val="20"/>
          <w:szCs w:val="20"/>
          <w:color w:val="auto"/>
        </w:rPr>
      </w:pPr>
    </w:p>
    <w:p>
      <w:pPr>
        <w:ind w:right="340" w:firstLine="629"/>
        <w:spacing w:after="0" w:line="257" w:lineRule="auto"/>
        <w:rPr>
          <w:sz w:val="20"/>
          <w:szCs w:val="20"/>
          <w:color w:val="auto"/>
        </w:rPr>
      </w:pPr>
      <w:r>
        <w:rPr>
          <w:rFonts w:ascii="Times New Roman" w:cs="Times New Roman" w:eastAsia="Times New Roman" w:hAnsi="Times New Roman"/>
          <w:sz w:val="17"/>
          <w:szCs w:val="17"/>
          <w:color w:val="auto"/>
        </w:rPr>
        <w:t>On January 13, 2022 (the "Credit Agreement Closing Date"), VFH and Virtu Financial entered into the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w:t>
      </w:r>
    </w:p>
    <w:p>
      <w:pPr>
        <w:spacing w:after="0" w:line="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Agreement”). The Credit Agreement provides (i) a senior secured first lien term loan in an aggregate principal amount of $1,800.0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and Restated 2015 Management Incentive Plan</w:t>
      </w:r>
    </w:p>
    <w:p>
      <w:pPr>
        <w:spacing w:after="0" w:line="239" w:lineRule="exact"/>
        <w:rPr>
          <w:sz w:val="20"/>
          <w:szCs w:val="20"/>
          <w:color w:val="auto"/>
        </w:rPr>
      </w:pPr>
    </w:p>
    <w:p>
      <w:pPr>
        <w:ind w:firstLine="629"/>
        <w:spacing w:after="0" w:line="243" w:lineRule="auto"/>
        <w:rPr>
          <w:sz w:val="20"/>
          <w:szCs w:val="20"/>
          <w:color w:val="auto"/>
        </w:rPr>
      </w:pPr>
      <w:r>
        <w:rPr>
          <w:rFonts w:ascii="Times New Roman" w:cs="Times New Roman" w:eastAsia="Times New Roman" w:hAnsi="Times New Roman"/>
          <w:sz w:val="17"/>
          <w:szCs w:val="17"/>
          <w:color w:val="auto"/>
        </w:rPr>
        <w:t>The Company’s Board of Directors and stockholders adopted the 2015 Management Incentive Plan, which became effective upon consummation of the Company's IPO and was subsequently amended and restated following receipt of approval from the Company’s stockholders on June 30, 2017 (the “Amended and Restated 2015 Management Incentive Plan”). The Amended and Restated 2015 Management Incentive Plan provides for the grant of stock options, restricted stock units, and other awards based on an aggregate of 16,000,000 shares of Class A Common Stock, par value $0.00001 per share (the “Class A Common Stock”), subject to additional sublimits, including limits on the total option grant to any one participant in a single year and the total performance award to any one participant in a single year. On April 23, 2020,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 16,000,000 shares of Class A Common Stock to an aggregate of 21,000,000 shares of Class A Common Stock and the amendment was approved by the Company’s shareholders at the Company’s annual meeting of shareholders on June 5, 2020. On April 22, 2022, the Company’s Board of Directors adopted another amendment to the Company’s Amended and Restated</w:t>
      </w:r>
    </w:p>
    <w:p>
      <w:pPr>
        <w:spacing w:after="0" w:line="5"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17"/>
          <w:szCs w:val="17"/>
          <w:color w:val="auto"/>
        </w:rPr>
        <w:t>2015 Management Incentive Plan in order to increase the number of shares of the Company’s Class A Common Stock reserved for issuance, and in respect of which awards may be granted under the Amended and Restated 2015 Plan from 21,000,000 shares of Class A Common Stock to an aggregate of 26,000,000 shares of Class A Common Stock and the amendment is subject to the approval of the Company’s shareholders at the Company’s annual meeting of shareholders on June 2, 2022.</w:t>
      </w:r>
    </w:p>
    <w:p>
      <w:pPr>
        <w:spacing w:after="0" w:line="220"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In connection with the IPO, non-qualified stock options to purchase 9,228,000 shares were granted at the IPO per share price, each of which vests in equal annual installments over a period of four years from the grant date and expires not later than 10 years from the grant date. Subsequent to the IPO and through March 31, 2022, options to purchase 1,633,750 shares in the aggregate were forfeited and 6,050,474 options were exercised. The fair value of the stock option grants was determined through the application of the Black-Scholes-Merton model and was recognized on a straight-line basis over the vesting period. In connection with and subsequent to the IPO, 1,677,318 shares of immediately vested Class A Common Stock and 2,620,051 restricted stock units were granted, which vest over a period of up to 4 years and are settled in shares of Class A</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300"/>
        <w:spacing w:after="0" w:line="296" w:lineRule="auto"/>
        <w:rPr>
          <w:sz w:val="20"/>
          <w:szCs w:val="20"/>
          <w:color w:val="auto"/>
        </w:rPr>
      </w:pPr>
      <w:r>
        <w:rPr>
          <w:rFonts w:ascii="Times New Roman" w:cs="Times New Roman" w:eastAsia="Times New Roman" w:hAnsi="Times New Roman"/>
          <w:sz w:val="17"/>
          <w:szCs w:val="17"/>
          <w:color w:val="auto"/>
        </w:rPr>
        <w:t>Common Stock. The fair value of the Class A Common Stock and restricted stock units was determined based on the volume weighted average price for the three days preceding the grant, and with respect to the restricted stock units is recognized on a straight-line basis over the vesting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and Restated Investment Technology Group, Inc. 2007 Omnibus Equity Compensation Plan</w:t>
      </w:r>
    </w:p>
    <w:p>
      <w:pPr>
        <w:spacing w:after="0" w:line="252"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On the ITG Closing Date, the Company assumed the Amended and Restated ITG 2007 Omnibus Equity Compensation Plan, dated as of June 8, 2017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Parent Company Financial Information</w:t>
      </w:r>
    </w:p>
    <w:p>
      <w:pPr>
        <w:spacing w:after="0" w:line="254" w:lineRule="exact"/>
        <w:rPr>
          <w:sz w:val="20"/>
          <w:szCs w:val="20"/>
          <w:color w:val="auto"/>
        </w:rPr>
      </w:pPr>
    </w:p>
    <w:p>
      <w:pPr>
        <w:ind w:right="60" w:firstLine="629"/>
        <w:spacing w:after="0" w:line="263" w:lineRule="auto"/>
        <w:rPr>
          <w:sz w:val="20"/>
          <w:szCs w:val="20"/>
          <w:color w:val="auto"/>
        </w:rPr>
      </w:pPr>
      <w:r>
        <w:rPr>
          <w:rFonts w:ascii="Times New Roman" w:cs="Times New Roman" w:eastAsia="Times New Roman" w:hAnsi="Times New Roman"/>
          <w:sz w:val="17"/>
          <w:szCs w:val="17"/>
          <w:color w:val="auto"/>
        </w:rPr>
        <w:t>There are no material differences between our condensed consolidated financial statements and the financial statements of Virtu Financial except as follows: (i) cash and cash equivalents reflected on our Condensed Consolidated Statements of Financial Condition as of March 31, 2022 in the amount of $30.0 million; (ii) deferred tax assets reflected on our Condensed Consolidated Statements of Financial Condition as of March 31, 2022 in the amount of $137.4 million and tax receivable agreement obligation in the amount of $237.9 million, in each case as described in greater detail in Note 4 "Tax Receivable Agreements" of Part I Item 1 “Financial Statements” of this Quarterly Report on Form 10-Q; (iii) a portion of the member's equity of Virtu Financial is represented as noncontrolling interest on our Condensed Consolidated Statements of Financial Condition as of March 31, 2022; and (iv) provision for corporate income tax in the amount of $27.1 million reflected on our Condensed Consolidated Statements of Comprehensive Income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52"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 shows our i) Total revenue, ii) Total operating expenses, and iii) Income before income taxes and noncontrolling interest by segment for the three months ended March 31, 2022, and 2021:</w:t>
      </w:r>
    </w:p>
    <w:p>
      <w:pPr>
        <w:spacing w:after="0" w:line="206" w:lineRule="exact"/>
        <w:rPr>
          <w:sz w:val="20"/>
          <w:szCs w:val="20"/>
          <w:color w:val="auto"/>
        </w:rPr>
      </w:pPr>
    </w:p>
    <w:tbl>
      <w:tblPr>
        <w:tblLayout w:type="fixed"/>
        <w:tblInd w:w="1540" w:type="dxa"/>
        <w:tblCellMar>
          <w:top w:w="0" w:type="dxa"/>
          <w:left w:w="0" w:type="dxa"/>
          <w:bottom w:w="0" w:type="dxa"/>
          <w:right w:w="0" w:type="dxa"/>
        </w:tblCellMar>
      </w:tblPr>
      <w:tr>
        <w:trPr>
          <w:trHeight w:val="18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2620" w:type="dxa"/>
            <w:vAlign w:val="bottom"/>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5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3"/>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546,561</w:t>
            </w:r>
          </w:p>
        </w:tc>
        <w:tc>
          <w:tcPr>
            <w:tcW w:w="100" w:type="dxa"/>
            <w:vAlign w:val="bottom"/>
          </w:tcPr>
          <w:p>
            <w:pPr>
              <w:spacing w:after="0"/>
              <w:rPr>
                <w:sz w:val="15"/>
                <w:szCs w:val="15"/>
                <w:color w:val="auto"/>
              </w:rPr>
            </w:pP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823,724</w:t>
            </w:r>
          </w:p>
        </w:tc>
      </w:tr>
      <w:tr>
        <w:trPr>
          <w:trHeight w:val="204"/>
        </w:trPr>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322,341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370,447</w:t>
            </w:r>
          </w:p>
        </w:tc>
      </w:tr>
      <w:tr>
        <w:trPr>
          <w:trHeight w:val="183"/>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453,277</w:t>
            </w:r>
          </w:p>
        </w:tc>
      </w:tr>
      <w:tr>
        <w:trPr>
          <w:trHeight w:val="204"/>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9"/>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189,239</w:t>
            </w:r>
          </w:p>
        </w:tc>
      </w:tr>
      <w:tr>
        <w:trPr>
          <w:trHeight w:val="204"/>
        </w:trPr>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136,619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148,888</w:t>
            </w:r>
          </w:p>
        </w:tc>
      </w:tr>
      <w:tr>
        <w:trPr>
          <w:trHeight w:val="183"/>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40,351</w:t>
            </w:r>
          </w:p>
        </w:tc>
      </w:tr>
      <w:tr>
        <w:trPr>
          <w:trHeight w:val="204"/>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9"/>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r>
      <w:tr>
        <w:trPr>
          <w:trHeight w:val="204"/>
        </w:trPr>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3,450</w:t>
            </w:r>
          </w:p>
        </w:tc>
      </w:tr>
      <w:tr>
        <w:trPr>
          <w:trHeight w:val="183"/>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(3,841)</w:t>
            </w:r>
          </w:p>
        </w:tc>
      </w:tr>
      <w:tr>
        <w:trPr>
          <w:trHeight w:val="204"/>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9"/>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701,262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1,012,572</w:t>
            </w:r>
          </w:p>
        </w:tc>
      </w:tr>
      <w:tr>
        <w:trPr>
          <w:trHeight w:val="197"/>
        </w:trPr>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459,551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522,785</w:t>
            </w:r>
          </w:p>
        </w:tc>
      </w:tr>
      <w:tr>
        <w:trPr>
          <w:trHeight w:val="196"/>
        </w:trPr>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241,711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489,787</w:t>
            </w:r>
          </w:p>
        </w:tc>
      </w:tr>
      <w:tr>
        <w:trPr>
          <w:trHeight w:val="20"/>
        </w:trPr>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shows our results of operations for the three months ended March 31, 2022, and 2021:</w:t>
      </w:r>
    </w:p>
    <w:p>
      <w:pPr>
        <w:spacing w:after="0" w:line="283" w:lineRule="exact"/>
        <w:rPr>
          <w:sz w:val="20"/>
          <w:szCs w:val="20"/>
          <w:color w:val="auto"/>
        </w:rPr>
      </w:pPr>
    </w:p>
    <w:tbl>
      <w:tblPr>
        <w:tblLayout w:type="fixed"/>
        <w:tblInd w:w="152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0"/>
        </w:trPr>
        <w:tc>
          <w:tcPr>
            <w:tcW w:w="5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Trading income, net</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522,307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812,743</w:t>
            </w:r>
          </w:p>
        </w:tc>
        <w:tc>
          <w:tcPr>
            <w:tcW w:w="0" w:type="dxa"/>
            <w:vAlign w:val="bottom"/>
          </w:tcPr>
          <w:p>
            <w:pPr>
              <w:spacing w:after="0"/>
              <w:rPr>
                <w:sz w:val="1"/>
                <w:szCs w:val="1"/>
                <w:color w:val="auto"/>
              </w:rPr>
            </w:pPr>
          </w:p>
        </w:tc>
      </w:tr>
      <w:tr>
        <w:trPr>
          <w:trHeight w:val="189"/>
        </w:trPr>
        <w:tc>
          <w:tcPr>
            <w:tcW w:w="5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6,997</w:t>
            </w:r>
          </w:p>
        </w:tc>
        <w:tc>
          <w:tcPr>
            <w:tcW w:w="0" w:type="dxa"/>
            <w:vAlign w:val="bottom"/>
          </w:tcPr>
          <w:p>
            <w:pPr>
              <w:spacing w:after="0"/>
              <w:rPr>
                <w:sz w:val="1"/>
                <w:szCs w:val="1"/>
                <w:color w:val="auto"/>
              </w:rPr>
            </w:pPr>
          </w:p>
        </w:tc>
      </w:tr>
      <w:tr>
        <w:trPr>
          <w:trHeight w:val="204"/>
        </w:trPr>
        <w:tc>
          <w:tcPr>
            <w:tcW w:w="5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154,655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191,649</w:t>
            </w:r>
          </w:p>
        </w:tc>
        <w:tc>
          <w:tcPr>
            <w:tcW w:w="0" w:type="dxa"/>
            <w:vAlign w:val="bottom"/>
          </w:tcPr>
          <w:p>
            <w:pPr>
              <w:spacing w:after="0"/>
              <w:rPr>
                <w:sz w:val="1"/>
                <w:szCs w:val="1"/>
                <w:color w:val="auto"/>
              </w:rPr>
            </w:pPr>
          </w:p>
        </w:tc>
      </w:tr>
      <w:tr>
        <w:trPr>
          <w:trHeight w:val="190"/>
        </w:trPr>
        <w:tc>
          <w:tcPr>
            <w:tcW w:w="52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Other, net</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3,289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0" w:type="dxa"/>
            <w:vAlign w:val="bottom"/>
          </w:tcPr>
          <w:p>
            <w:pPr>
              <w:spacing w:after="0"/>
              <w:rPr>
                <w:sz w:val="1"/>
                <w:szCs w:val="1"/>
                <w:color w:val="auto"/>
              </w:rPr>
            </w:pPr>
          </w:p>
        </w:tc>
      </w:tr>
      <w:tr>
        <w:trPr>
          <w:trHeight w:val="196"/>
        </w:trPr>
        <w:tc>
          <w:tcPr>
            <w:tcW w:w="5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701,262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1,012,572</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Brokerage, exchange, clearance fees and payments for order flow, net</w:t>
            </w:r>
          </w:p>
        </w:tc>
        <w:tc>
          <w:tcPr>
            <w:tcW w:w="300" w:type="dxa"/>
            <w:vAlign w:val="bottom"/>
          </w:tcPr>
          <w:p>
            <w:pPr>
              <w:spacing w:after="0"/>
              <w:rPr>
                <w:sz w:val="16"/>
                <w:szCs w:val="16"/>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150,380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259,332</w:t>
            </w:r>
          </w:p>
        </w:tc>
        <w:tc>
          <w:tcPr>
            <w:tcW w:w="0" w:type="dxa"/>
            <w:vAlign w:val="bottom"/>
          </w:tcPr>
          <w:p>
            <w:pPr>
              <w:spacing w:after="0"/>
              <w:rPr>
                <w:sz w:val="1"/>
                <w:szCs w:val="1"/>
                <w:color w:val="auto"/>
              </w:rPr>
            </w:pPr>
          </w:p>
        </w:tc>
      </w:tr>
      <w:tr>
        <w:trPr>
          <w:trHeight w:val="204"/>
        </w:trPr>
        <w:tc>
          <w:tcPr>
            <w:tcW w:w="5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Communication and data processing</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55,835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51,690</w:t>
            </w:r>
          </w:p>
        </w:tc>
        <w:tc>
          <w:tcPr>
            <w:tcW w:w="0" w:type="dxa"/>
            <w:vAlign w:val="bottom"/>
          </w:tcPr>
          <w:p>
            <w:pPr>
              <w:spacing w:after="0"/>
              <w:rPr>
                <w:sz w:val="1"/>
                <w:szCs w:val="1"/>
                <w:color w:val="auto"/>
              </w:rPr>
            </w:pPr>
          </w:p>
        </w:tc>
      </w:tr>
      <w:tr>
        <w:trPr>
          <w:trHeight w:val="189"/>
        </w:trPr>
        <w:tc>
          <w:tcPr>
            <w:tcW w:w="5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Employee compensation and payroll taxes</w:t>
            </w:r>
          </w:p>
        </w:tc>
        <w:tc>
          <w:tcPr>
            <w:tcW w:w="300" w:type="dxa"/>
            <w:vAlign w:val="bottom"/>
          </w:tcPr>
          <w:p>
            <w:pPr>
              <w:spacing w:after="0"/>
              <w:rPr>
                <w:sz w:val="16"/>
                <w:szCs w:val="16"/>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103,480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104,771</w:t>
            </w:r>
          </w:p>
        </w:tc>
        <w:tc>
          <w:tcPr>
            <w:tcW w:w="0" w:type="dxa"/>
            <w:vAlign w:val="bottom"/>
          </w:tcPr>
          <w:p>
            <w:pPr>
              <w:spacing w:after="0"/>
              <w:rPr>
                <w:sz w:val="1"/>
                <w:szCs w:val="1"/>
                <w:color w:val="auto"/>
              </w:rPr>
            </w:pPr>
          </w:p>
        </w:tc>
      </w:tr>
      <w:tr>
        <w:trPr>
          <w:trHeight w:val="204"/>
        </w:trPr>
        <w:tc>
          <w:tcPr>
            <w:tcW w:w="5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42,538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24,028</w:t>
            </w:r>
          </w:p>
        </w:tc>
        <w:tc>
          <w:tcPr>
            <w:tcW w:w="0" w:type="dxa"/>
            <w:vAlign w:val="bottom"/>
          </w:tcPr>
          <w:p>
            <w:pPr>
              <w:spacing w:after="0"/>
              <w:rPr>
                <w:sz w:val="1"/>
                <w:szCs w:val="1"/>
                <w:color w:val="auto"/>
              </w:rPr>
            </w:pPr>
          </w:p>
        </w:tc>
      </w:tr>
      <w:tr>
        <w:trPr>
          <w:trHeight w:val="189"/>
        </w:trPr>
        <w:tc>
          <w:tcPr>
            <w:tcW w:w="5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Operations and administrative</w:t>
            </w:r>
          </w:p>
        </w:tc>
        <w:tc>
          <w:tcPr>
            <w:tcW w:w="300" w:type="dxa"/>
            <w:vAlign w:val="bottom"/>
          </w:tcPr>
          <w:p>
            <w:pPr>
              <w:spacing w:after="0"/>
              <w:rPr>
                <w:sz w:val="16"/>
                <w:szCs w:val="16"/>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25,215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25,655</w:t>
            </w:r>
          </w:p>
        </w:tc>
        <w:tc>
          <w:tcPr>
            <w:tcW w:w="0" w:type="dxa"/>
            <w:vAlign w:val="bottom"/>
          </w:tcPr>
          <w:p>
            <w:pPr>
              <w:spacing w:after="0"/>
              <w:rPr>
                <w:sz w:val="1"/>
                <w:szCs w:val="1"/>
                <w:color w:val="auto"/>
              </w:rPr>
            </w:pPr>
          </w:p>
        </w:tc>
      </w:tr>
      <w:tr>
        <w:trPr>
          <w:trHeight w:val="204"/>
        </w:trPr>
        <w:tc>
          <w:tcPr>
            <w:tcW w:w="5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17,477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16,778</w:t>
            </w:r>
          </w:p>
        </w:tc>
        <w:tc>
          <w:tcPr>
            <w:tcW w:w="0" w:type="dxa"/>
            <w:vAlign w:val="bottom"/>
          </w:tcPr>
          <w:p>
            <w:pPr>
              <w:spacing w:after="0"/>
              <w:rPr>
                <w:sz w:val="1"/>
                <w:szCs w:val="1"/>
                <w:color w:val="auto"/>
              </w:rPr>
            </w:pPr>
          </w:p>
        </w:tc>
      </w:tr>
      <w:tr>
        <w:trPr>
          <w:trHeight w:val="189"/>
        </w:trPr>
        <w:tc>
          <w:tcPr>
            <w:tcW w:w="5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300" w:type="dxa"/>
            <w:vAlign w:val="bottom"/>
          </w:tcPr>
          <w:p>
            <w:pPr>
              <w:spacing w:after="0"/>
              <w:rPr>
                <w:sz w:val="16"/>
                <w:szCs w:val="16"/>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16,480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18,077</w:t>
            </w:r>
          </w:p>
        </w:tc>
        <w:tc>
          <w:tcPr>
            <w:tcW w:w="0" w:type="dxa"/>
            <w:vAlign w:val="bottom"/>
          </w:tcPr>
          <w:p>
            <w:pPr>
              <w:spacing w:after="0"/>
              <w:rPr>
                <w:sz w:val="1"/>
                <w:szCs w:val="1"/>
                <w:color w:val="auto"/>
              </w:rPr>
            </w:pPr>
          </w:p>
        </w:tc>
      </w:tr>
      <w:tr>
        <w:trPr>
          <w:trHeight w:val="204"/>
        </w:trPr>
        <w:tc>
          <w:tcPr>
            <w:tcW w:w="5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0" w:type="dxa"/>
            <w:vAlign w:val="bottom"/>
          </w:tcPr>
          <w:p>
            <w:pPr>
              <w:spacing w:after="0"/>
              <w:rPr>
                <w:sz w:val="1"/>
                <w:szCs w:val="1"/>
                <w:color w:val="auto"/>
              </w:rPr>
            </w:pPr>
          </w:p>
        </w:tc>
      </w:tr>
      <w:tr>
        <w:trPr>
          <w:trHeight w:val="189"/>
        </w:trPr>
        <w:tc>
          <w:tcPr>
            <w:tcW w:w="5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Debt issue cost related to debt refinancing, prepayment and commitment fees</w:t>
            </w:r>
          </w:p>
        </w:tc>
        <w:tc>
          <w:tcPr>
            <w:tcW w:w="300" w:type="dxa"/>
            <w:vAlign w:val="bottom"/>
          </w:tcPr>
          <w:p>
            <w:pPr>
              <w:spacing w:after="0"/>
              <w:rPr>
                <w:sz w:val="16"/>
                <w:szCs w:val="16"/>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25,684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0" w:type="dxa"/>
            <w:vAlign w:val="bottom"/>
          </w:tcPr>
          <w:p>
            <w:pPr>
              <w:spacing w:after="0"/>
              <w:rPr>
                <w:sz w:val="1"/>
                <w:szCs w:val="1"/>
                <w:color w:val="auto"/>
              </w:rPr>
            </w:pPr>
          </w:p>
        </w:tc>
      </w:tr>
      <w:tr>
        <w:trPr>
          <w:trHeight w:val="204"/>
        </w:trPr>
        <w:tc>
          <w:tcPr>
            <w:tcW w:w="5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0"/>
        </w:trPr>
        <w:tc>
          <w:tcPr>
            <w:tcW w:w="52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Financing interest expense on long-term borrowings</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21,333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19,492</w:t>
            </w:r>
          </w:p>
        </w:tc>
        <w:tc>
          <w:tcPr>
            <w:tcW w:w="0" w:type="dxa"/>
            <w:vAlign w:val="bottom"/>
          </w:tcPr>
          <w:p>
            <w:pPr>
              <w:spacing w:after="0"/>
              <w:rPr>
                <w:sz w:val="1"/>
                <w:szCs w:val="1"/>
                <w:color w:val="auto"/>
              </w:rPr>
            </w:pPr>
          </w:p>
        </w:tc>
      </w:tr>
      <w:tr>
        <w:trPr>
          <w:trHeight w:val="196"/>
        </w:trPr>
        <w:tc>
          <w:tcPr>
            <w:tcW w:w="5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459,551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522,785</w:t>
            </w:r>
          </w:p>
        </w:tc>
        <w:tc>
          <w:tcPr>
            <w:tcW w:w="0" w:type="dxa"/>
            <w:vAlign w:val="bottom"/>
          </w:tcPr>
          <w:p>
            <w:pPr>
              <w:spacing w:after="0"/>
              <w:rPr>
                <w:sz w:val="1"/>
                <w:szCs w:val="1"/>
                <w:color w:val="auto"/>
              </w:rPr>
            </w:pPr>
          </w:p>
        </w:tc>
      </w:tr>
      <w:tr>
        <w:trPr>
          <w:trHeight w:val="183"/>
        </w:trPr>
        <w:tc>
          <w:tcPr>
            <w:tcW w:w="5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241,711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489,787</w:t>
            </w:r>
          </w:p>
        </w:tc>
        <w:tc>
          <w:tcPr>
            <w:tcW w:w="0" w:type="dxa"/>
            <w:vAlign w:val="bottom"/>
          </w:tcPr>
          <w:p>
            <w:pPr>
              <w:spacing w:after="0"/>
              <w:rPr>
                <w:sz w:val="1"/>
                <w:szCs w:val="1"/>
                <w:color w:val="auto"/>
              </w:rPr>
            </w:pPr>
          </w:p>
        </w:tc>
      </w:tr>
      <w:tr>
        <w:trPr>
          <w:trHeight w:val="197"/>
        </w:trPr>
        <w:tc>
          <w:tcPr>
            <w:tcW w:w="5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41,786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80,555</w:t>
            </w:r>
          </w:p>
        </w:tc>
        <w:tc>
          <w:tcPr>
            <w:tcW w:w="0" w:type="dxa"/>
            <w:vAlign w:val="bottom"/>
          </w:tcPr>
          <w:p>
            <w:pPr>
              <w:spacing w:after="0"/>
              <w:rPr>
                <w:sz w:val="1"/>
                <w:szCs w:val="1"/>
                <w:color w:val="auto"/>
              </w:rPr>
            </w:pPr>
          </w:p>
        </w:tc>
      </w:tr>
      <w:tr>
        <w:trPr>
          <w:trHeight w:val="196"/>
        </w:trPr>
        <w:tc>
          <w:tcPr>
            <w:tcW w:w="52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199,925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409,232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Revenues</w:t>
      </w:r>
    </w:p>
    <w:p>
      <w:pPr>
        <w:spacing w:after="0" w:line="254"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Revenues are generated through market marking activities, commissions and fees on execution services activities, which include recurring subscriptions on workflow technology and analytic products. The majority of our revenues are generated through market making activities, which are recorded as Trading income, net and Interest and dividends income. Commissions and fees are derived from commissions charged for trade executions in client execution services. We earn commissions and commission equivalents,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our control.</w:t>
      </w:r>
    </w:p>
    <w:p>
      <w:pPr>
        <w:spacing w:after="0" w:line="203"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are recognized over the course of the year as the performance obligations for those analytics products are satisfied.</w:t>
      </w:r>
    </w:p>
    <w:p>
      <w:pPr>
        <w:spacing w:after="0" w:line="186" w:lineRule="exact"/>
        <w:rPr>
          <w:sz w:val="20"/>
          <w:szCs w:val="20"/>
          <w:color w:val="auto"/>
        </w:rPr>
      </w:pPr>
    </w:p>
    <w:p>
      <w:pPr>
        <w:ind w:right="140" w:firstLine="62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Trading income, net. </w:t>
      </w:r>
      <w:r>
        <w:rPr>
          <w:rFonts w:ascii="Times New Roman" w:cs="Times New Roman" w:eastAsia="Times New Roman" w:hAnsi="Times New Roman"/>
          <w:sz w:val="17"/>
          <w:szCs w:val="17"/>
          <w:color w:val="auto"/>
        </w:rPr>
        <w:t>Trading income, net represents revenue earned from bid/ask spreads. Trading income is generated in the normal course of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market making activities and is typically proportional to the level of trading activity, or volumes, and bid/ask spreads in the asset classes we serve. Our trading income is highly diversified by asset class and geography and is comprised of small amounts earned on millions of trades on various exchanges. Our trading income, net, results from gains and losses associated with trading strategies, which are designed to capture small bid ask spreads, while hedging risks. Trading income, net, accounted for 74% and 80% of our total revenues for the three months ended March 31, 2022 and 2021, respectively.</w:t>
      </w:r>
    </w:p>
    <w:p>
      <w:pPr>
        <w:spacing w:after="0" w:line="192" w:lineRule="exact"/>
        <w:rPr>
          <w:sz w:val="20"/>
          <w:szCs w:val="20"/>
          <w:color w:val="auto"/>
        </w:rPr>
      </w:pPr>
    </w:p>
    <w:p>
      <w:pPr>
        <w:ind w:right="10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income. </w:t>
      </w:r>
      <w:r>
        <w:rPr>
          <w:rFonts w:ascii="Times New Roman" w:cs="Times New Roman" w:eastAsia="Times New Roman" w:hAnsi="Times New Roman"/>
          <w:sz w:val="17"/>
          <w:szCs w:val="17"/>
          <w:color w:val="auto"/>
        </w:rPr>
        <w:t>Our market making activities require us to hold securities on a regular basis, and we generate revenues in the form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interest and dividends income from these securities. Interest is also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spacing w:after="0" w:line="188"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Commissions, net and technology services. </w:t>
      </w:r>
      <w:r>
        <w:rPr>
          <w:rFonts w:ascii="Times New Roman" w:cs="Times New Roman" w:eastAsia="Times New Roman" w:hAnsi="Times New Roman"/>
          <w:sz w:val="17"/>
          <w:szCs w:val="17"/>
          <w:color w:val="auto"/>
        </w:rPr>
        <w:t>We earn revenues on transactions for which we charge explicit commissions or commission equivalents,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which include the majority of 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 based fees from providing liquidity to other trading venues; and the level of our soft dollar and commission recapture activity. Client commission fees are charged for client trades executed by us on behalf of third-party broker-dealers and other financial institutions. Revenue is recognized on a trade date basis, which is the point at which the performance obligation to the customer is satisfied, based on the trade being executed. In addition, we offer workflow technology and analytics services to select third parties. Revenues are derived from fees generated by matching sell-side and buy-side clients orders, and from analytic products delivered to the clients.</w:t>
      </w:r>
    </w:p>
    <w:p>
      <w:pPr>
        <w:spacing w:after="0" w:line="203" w:lineRule="exact"/>
        <w:rPr>
          <w:sz w:val="20"/>
          <w:szCs w:val="20"/>
          <w:color w:val="auto"/>
        </w:rPr>
      </w:pPr>
    </w:p>
    <w:p>
      <w:pPr>
        <w:ind w:right="460" w:firstLine="629"/>
        <w:spacing w:after="0" w:line="276" w:lineRule="auto"/>
        <w:rPr>
          <w:sz w:val="20"/>
          <w:szCs w:val="20"/>
          <w:color w:val="auto"/>
        </w:rPr>
      </w:pPr>
      <w:r>
        <w:rPr>
          <w:rFonts w:ascii="Times New Roman" w:cs="Times New Roman" w:eastAsia="Times New Roman" w:hAnsi="Times New Roman"/>
          <w:sz w:val="17"/>
          <w:szCs w:val="17"/>
          <w:color w:val="auto"/>
        </w:rPr>
        <w:t>Technology licensing fees are charged for the licensing of our proprietary technology and the provision of related services, including hosting, management and support. These fees include an up-front component and a recurring fee for the relevant terms, which may include both fixed and variable components. Revenue is recognized ratably for these services over the contractual term of the agreement.</w:t>
      </w:r>
    </w:p>
    <w:p>
      <w:pPr>
        <w:spacing w:after="0" w:line="186" w:lineRule="exact"/>
        <w:rPr>
          <w:sz w:val="20"/>
          <w:szCs w:val="20"/>
          <w:color w:val="auto"/>
        </w:rPr>
      </w:pPr>
    </w:p>
    <w:p>
      <w:pPr>
        <w:ind w:right="14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net. </w:t>
      </w:r>
      <w:r>
        <w:rPr>
          <w:rFonts w:ascii="Times New Roman" w:cs="Times New Roman" w:eastAsia="Times New Roman" w:hAnsi="Times New Roman"/>
          <w:sz w:val="17"/>
          <w:szCs w:val="17"/>
          <w:color w:val="auto"/>
        </w:rPr>
        <w:t>We have interests in multiple strategic investments and telecommunications joint ventures (“JVs”). We record our pro-rata share of each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JV’s earnings or losses within other, net, while fees related to the use of communication services provided by the JVs are recorded within communications and data processing.</w:t>
      </w:r>
    </w:p>
    <w:p>
      <w:pPr>
        <w:spacing w:after="0" w:line="174" w:lineRule="exact"/>
        <w:rPr>
          <w:sz w:val="20"/>
          <w:szCs w:val="20"/>
          <w:color w:val="auto"/>
        </w:rPr>
      </w:pPr>
    </w:p>
    <w:p>
      <w:pPr>
        <w:ind w:right="220" w:firstLine="629"/>
        <w:spacing w:after="0" w:line="260" w:lineRule="auto"/>
        <w:rPr>
          <w:sz w:val="20"/>
          <w:szCs w:val="20"/>
          <w:color w:val="auto"/>
        </w:rPr>
      </w:pPr>
      <w:r>
        <w:rPr>
          <w:rFonts w:ascii="Times New Roman" w:cs="Times New Roman" w:eastAsia="Times New Roman" w:hAnsi="Times New Roman"/>
          <w:sz w:val="17"/>
          <w:szCs w:val="17"/>
          <w:color w:val="auto"/>
        </w:rPr>
        <w:t>We have a noncontrolling investment (the “JNX Investment”) in Japannext Co., Ltd. (“JNX”), a proprietary trading system based in Tokyo. In connection with the investment, we issued bonds to certain affiliates of JNX and used the proceeds to partially finance the transaction. Revenues or losses are recognized due to the changes in fair value of the investment or fluctuations in Japanese Yen conversion rates within Other, net.</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Other, net can also include gains on sales of businesses, revenues from service agreements related to the sale of businesses.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50"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Brokerage, exchange, clearance fees and payments for order flow, net. </w:t>
      </w:r>
      <w:r>
        <w:rPr>
          <w:rFonts w:ascii="Times New Roman" w:cs="Times New Roman" w:eastAsia="Times New Roman" w:hAnsi="Times New Roman"/>
          <w:sz w:val="17"/>
          <w:szCs w:val="17"/>
          <w:color w:val="auto"/>
        </w:rPr>
        <w:t>Brokerage, exchange, clearance fees and payments for order flow are our most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significant expenses, which include the direct expenses of executing and clearing transactions that we consummate in the course of our market making activities. Brokerage, exchange, clearance fees and payments for order flow primarily consist of fees charged by third parties for executing, processing and settling trades. These fees generally increase and decrease in direct correlation with the level of our trading activity. Execution fees are paid primarily to exchanges and venues where we trade. Clearance fees are paid to clearing houses and clearing agents. Payments for order flow represent payments to broker-dealer clients, in the normal course of business, for directing their order flow in U.S. equities to the Company. Rebates based on volume discounts, credits or payments received from exchanges or other marketplaces are netted against brokerage, exchange, clearance fees and payments for order flow.</w:t>
      </w:r>
    </w:p>
    <w:p>
      <w:pPr>
        <w:spacing w:after="0" w:line="198" w:lineRule="exact"/>
        <w:rPr>
          <w:sz w:val="20"/>
          <w:szCs w:val="20"/>
          <w:color w:val="auto"/>
        </w:rPr>
      </w:pPr>
    </w:p>
    <w:p>
      <w:pPr>
        <w:ind w:right="6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Communication and data processing. </w:t>
      </w:r>
      <w:r>
        <w:rPr>
          <w:rFonts w:ascii="Times New Roman" w:cs="Times New Roman" w:eastAsia="Times New Roman" w:hAnsi="Times New Roman"/>
          <w:sz w:val="17"/>
          <w:szCs w:val="17"/>
          <w:color w:val="auto"/>
        </w:rPr>
        <w:t>Communication and data processing represent primarily fixed expenses for leased equipment, equipment co-location, network 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spacing w:after="0" w:line="188" w:lineRule="exact"/>
        <w:rPr>
          <w:sz w:val="20"/>
          <w:szCs w:val="20"/>
          <w:color w:val="auto"/>
        </w:rPr>
      </w:pPr>
    </w:p>
    <w:p>
      <w:pPr>
        <w:ind w:right="140" w:firstLine="62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Employee compensation and payroll taxes. </w:t>
      </w:r>
      <w:r>
        <w:rPr>
          <w:rFonts w:ascii="Times New Roman" w:cs="Times New Roman" w:eastAsia="Times New Roman" w:hAnsi="Times New Roman"/>
          <w:sz w:val="17"/>
          <w:szCs w:val="17"/>
          <w:color w:val="auto"/>
        </w:rPr>
        <w:t>Employee compensation and payroll taxes include employee salaries, cash and non-cash incentive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compensation, employee benefits, payroll taxes, severance and other employee related costs. Employee compensation and payroll taxes also includes non-cash compensation expenses with respect to restricted stock units and restricted stock awards granted in connection with and subsequent to the IPO pursuant to the Amended and Restated 2015 Management Incentive Plan and Class A Common Stock underlying certain awards assumed pursuant to the Amended and Restated ITG 2007 Equity Plan.</w:t>
      </w:r>
    </w:p>
    <w:p>
      <w:pPr>
        <w:spacing w:after="0" w:line="192" w:lineRule="exact"/>
        <w:rPr>
          <w:sz w:val="20"/>
          <w:szCs w:val="20"/>
          <w:color w:val="auto"/>
        </w:rPr>
      </w:pPr>
    </w:p>
    <w:p>
      <w:pPr>
        <w:ind w:right="14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expense. </w:t>
      </w:r>
      <w:r>
        <w:rPr>
          <w:rFonts w:ascii="Times New Roman" w:cs="Times New Roman" w:eastAsia="Times New Roman" w:hAnsi="Times New Roman"/>
          <w:sz w:val="17"/>
          <w:szCs w:val="17"/>
          <w:color w:val="auto"/>
        </w:rPr>
        <w:t>We incur interest expense from loaning certain equity securities in the general course of our market making activities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pursuant to collateralized lending transactions. Typically, dividend expense is incurred when a dividend is paid on securities sold short.</w:t>
      </w:r>
    </w:p>
    <w:p>
      <w:pPr>
        <w:spacing w:after="0" w:line="165" w:lineRule="exact"/>
        <w:rPr>
          <w:sz w:val="20"/>
          <w:szCs w:val="20"/>
          <w:color w:val="auto"/>
        </w:rPr>
      </w:pPr>
    </w:p>
    <w:p>
      <w:pPr>
        <w:ind w:right="16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Operations and administrative. </w:t>
      </w:r>
      <w:r>
        <w:rPr>
          <w:rFonts w:ascii="Times New Roman" w:cs="Times New Roman" w:eastAsia="Times New Roman" w:hAnsi="Times New Roman"/>
          <w:sz w:val="17"/>
          <w:szCs w:val="17"/>
          <w:color w:val="auto"/>
        </w:rPr>
        <w:t>Operations and administrative expense represents occupancy, recruiting, travel and related expense, professional fees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other expenses.</w:t>
      </w:r>
    </w:p>
    <w:p>
      <w:pPr>
        <w:spacing w:after="0" w:line="165" w:lineRule="exact"/>
        <w:rPr>
          <w:sz w:val="20"/>
          <w:szCs w:val="20"/>
          <w:color w:val="auto"/>
        </w:rPr>
      </w:pPr>
    </w:p>
    <w:p>
      <w:pPr>
        <w:ind w:right="80" w:firstLine="62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and amortization. </w:t>
      </w:r>
      <w:r>
        <w:rPr>
          <w:rFonts w:ascii="Times New Roman" w:cs="Times New Roman" w:eastAsia="Times New Roman" w:hAnsi="Times New Roman"/>
          <w:sz w:val="17"/>
          <w:szCs w:val="17"/>
          <w:color w:val="auto"/>
        </w:rPr>
        <w:t>Depreciation and amortization expense results from the depreciation of fixed assets, such as computing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communications hardware, 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3 years, which represents the estimated useful lives of the underlying software. We amortize leasehold improvements on a straight-line basis over the lesser of the life of the improvement or the term of the lease.</w:t>
      </w:r>
    </w:p>
    <w:p>
      <w:pPr>
        <w:spacing w:after="0" w:line="193" w:lineRule="exact"/>
        <w:rPr>
          <w:sz w:val="20"/>
          <w:szCs w:val="20"/>
          <w:color w:val="auto"/>
        </w:rPr>
      </w:pPr>
    </w:p>
    <w:p>
      <w:pPr>
        <w:ind w:right="24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Amortization of purchased intangibles and acquired capitalized software. </w:t>
      </w:r>
      <w:r>
        <w:rPr>
          <w:rFonts w:ascii="Times New Roman" w:cs="Times New Roman" w:eastAsia="Times New Roman" w:hAnsi="Times New Roman"/>
          <w:sz w:val="17"/>
          <w:szCs w:val="17"/>
          <w:color w:val="auto"/>
        </w:rPr>
        <w:t>Amortization of purchased intangibles and acquired capitalized software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represents the amortization of finite lived intangible assets acquired in connection with the acquisition of certain assets from Nyenburgh Holding B.V., Teza Technologies, the Acquisition of KCG, and the ITG Acquisition. These assets are amortized over their useful lives, ranging from 1 to 15 years, except for certain assets which were categorized as having indefinite useful lives.</w:t>
      </w:r>
    </w:p>
    <w:p>
      <w:pPr>
        <w:spacing w:after="0" w:line="188" w:lineRule="exact"/>
        <w:rPr>
          <w:sz w:val="20"/>
          <w:szCs w:val="20"/>
          <w:color w:val="auto"/>
        </w:rPr>
      </w:pPr>
    </w:p>
    <w:p>
      <w:pPr>
        <w:ind w:right="4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Termination of office leases. </w:t>
      </w:r>
      <w:r>
        <w:rPr>
          <w:rFonts w:ascii="Times New Roman" w:cs="Times New Roman" w:eastAsia="Times New Roman" w:hAnsi="Times New Roman"/>
          <w:sz w:val="17"/>
          <w:szCs w:val="17"/>
          <w:color w:val="auto"/>
        </w:rPr>
        <w:t>Termination of office leases represents the write-off expense related to certain office space we ceased use of as part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effort to integrate and consolidate office space. The aggregate write-off amount includes the impairment of operating lease right-of-use assets, leasehold improvements and fixed assets, and dilapidation charges.</w:t>
      </w:r>
    </w:p>
    <w:p>
      <w:pPr>
        <w:spacing w:after="0" w:line="183" w:lineRule="exact"/>
        <w:rPr>
          <w:sz w:val="20"/>
          <w:szCs w:val="20"/>
          <w:color w:val="auto"/>
        </w:rPr>
      </w:pPr>
    </w:p>
    <w:p>
      <w:pPr>
        <w:jc w:val="both"/>
        <w:ind w:right="32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Debt issue cost related to debt refinancing, prepayment and commitment fees. </w:t>
      </w:r>
      <w:r>
        <w:rPr>
          <w:rFonts w:ascii="Times New Roman" w:cs="Times New Roman" w:eastAsia="Times New Roman" w:hAnsi="Times New Roman"/>
          <w:sz w:val="17"/>
          <w:szCs w:val="17"/>
          <w:color w:val="auto"/>
        </w:rPr>
        <w:t>As a result of the refinancing or early termination of our long-term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borrowings, we accelerate the capitalized debt issue cost and the discount on the term loan that would otherwise be amortized or accreted over the life of the term loan. Premium paid in connection with retiring outstanding bonds, and commitment fees paid for lines of credit are also included in this category.</w:t>
      </w:r>
    </w:p>
    <w:p>
      <w:pPr>
        <w:spacing w:after="0" w:line="183" w:lineRule="exact"/>
        <w:rPr>
          <w:sz w:val="20"/>
          <w:szCs w:val="20"/>
          <w:color w:val="auto"/>
        </w:rPr>
      </w:pPr>
    </w:p>
    <w:p>
      <w:pPr>
        <w:ind w:right="14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Transaction advisory fees and expenses. </w:t>
      </w:r>
      <w:r>
        <w:rPr>
          <w:rFonts w:ascii="Times New Roman" w:cs="Times New Roman" w:eastAsia="Times New Roman" w:hAnsi="Times New Roman"/>
          <w:sz w:val="17"/>
          <w:szCs w:val="17"/>
          <w:color w:val="auto"/>
        </w:rPr>
        <w:t>Transaction advisory fees and expenses primarily reflect professional fees incurred by us in connection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one or more acquisitions or dispositions.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interest expense on long-term borrowings. </w:t>
      </w:r>
      <w:r>
        <w:rPr>
          <w:rFonts w:ascii="Times New Roman" w:cs="Times New Roman" w:eastAsia="Times New Roman" w:hAnsi="Times New Roman"/>
          <w:sz w:val="17"/>
          <w:szCs w:val="17"/>
          <w:color w:val="auto"/>
        </w:rPr>
        <w:t>Financing interest expense reflects interest accrued on outstanding indebtedness under our long-term borrowing arrangements.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(benefit from) income taxes</w:t>
      </w:r>
    </w:p>
    <w:p>
      <w:pPr>
        <w:spacing w:after="0" w:line="254" w:lineRule="exact"/>
        <w:rPr>
          <w:sz w:val="20"/>
          <w:szCs w:val="20"/>
          <w:color w:val="auto"/>
        </w:rPr>
      </w:pPr>
    </w:p>
    <w:p>
      <w:pPr>
        <w:ind w:right="60" w:firstLine="629"/>
        <w:spacing w:after="0" w:line="296" w:lineRule="auto"/>
        <w:rPr>
          <w:sz w:val="20"/>
          <w:szCs w:val="20"/>
          <w:color w:val="auto"/>
        </w:rPr>
      </w:pPr>
      <w:r>
        <w:rPr>
          <w:rFonts w:ascii="Times New Roman" w:cs="Times New Roman" w:eastAsia="Times New Roman" w:hAnsi="Times New Roman"/>
          <w:sz w:val="17"/>
          <w:szCs w:val="17"/>
          <w:color w:val="auto"/>
        </w:rPr>
        <w:t>We are subject to U.S. federal, state and local income tax at the rate applicable to corporations less the rate attributable to the noncontrolling interest in Virtu Financial.</w:t>
      </w:r>
    </w:p>
    <w:p>
      <w:pPr>
        <w:spacing w:after="0" w:line="173" w:lineRule="exact"/>
        <w:rPr>
          <w:sz w:val="20"/>
          <w:szCs w:val="20"/>
          <w:color w:val="auto"/>
        </w:rPr>
      </w:pPr>
    </w:p>
    <w:p>
      <w:pPr>
        <w:jc w:val="both"/>
        <w:ind w:right="180" w:firstLine="629"/>
        <w:spacing w:after="0" w:line="264" w:lineRule="auto"/>
        <w:rPr>
          <w:sz w:val="20"/>
          <w:szCs w:val="20"/>
          <w:color w:val="auto"/>
        </w:rPr>
      </w:pPr>
      <w:r>
        <w:rPr>
          <w:rFonts w:ascii="Times New Roman" w:cs="Times New Roman" w:eastAsia="Times New Roman" w:hAnsi="Times New Roman"/>
          <w:sz w:val="17"/>
          <w:szCs w:val="17"/>
          <w:color w:val="auto"/>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w:t>
      </w:r>
    </w:p>
    <w:p>
      <w:pPr>
        <w:spacing w:after="0" w:line="2"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7"/>
          <w:szCs w:val="17"/>
          <w:color w:val="auto"/>
        </w:rPr>
        <w:t>Additionally, our effective tax rate can be more or less volatile based on the amount of pre-tax income or loss. For example, the impact of discrete items and non-deductible expenses on our effective tax rate is greater when our pre-tax income is lower.</w:t>
      </w:r>
    </w:p>
    <w:p>
      <w:pPr>
        <w:spacing w:after="0" w:line="191"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13 "Income Taxes" of Part I Item 1 “Financial Statements” of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 and Other Items</w:t>
      </w:r>
    </w:p>
    <w:p>
      <w:pPr>
        <w:spacing w:after="0" w:line="252" w:lineRule="exact"/>
        <w:rPr>
          <w:sz w:val="20"/>
          <w:szCs w:val="20"/>
          <w:color w:val="auto"/>
        </w:rPr>
      </w:pPr>
    </w:p>
    <w:p>
      <w:pPr>
        <w:ind w:right="240" w:firstLine="629"/>
        <w:spacing w:after="0" w:line="296" w:lineRule="auto"/>
        <w:rPr>
          <w:sz w:val="20"/>
          <w:szCs w:val="20"/>
          <w:color w:val="auto"/>
        </w:rPr>
      </w:pPr>
      <w:r>
        <w:rPr>
          <w:rFonts w:ascii="Times New Roman" w:cs="Times New Roman" w:eastAsia="Times New Roman" w:hAnsi="Times New Roman"/>
          <w:sz w:val="17"/>
          <w:szCs w:val="17"/>
          <w:color w:val="auto"/>
        </w:rPr>
        <w:t>To supplement our condensed consolidated financial statements presented in accordance with generally accepted accounting principles in the United States (“U.S. GAAP”), we use the following non-U.S. GAAP (“Non-GAAP”) financial measures of financial performance:</w:t>
      </w:r>
    </w:p>
    <w:p>
      <w:pPr>
        <w:spacing w:after="0" w:line="173" w:lineRule="exact"/>
        <w:rPr>
          <w:sz w:val="20"/>
          <w:szCs w:val="20"/>
          <w:color w:val="auto"/>
        </w:rPr>
      </w:pPr>
    </w:p>
    <w:p>
      <w:pPr>
        <w:ind w:left="1020" w:hanging="229"/>
        <w:spacing w:after="0" w:line="263" w:lineRule="auto"/>
        <w:tabs>
          <w:tab w:leader="none" w:pos="10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clearance fees and payments for order flow, net, and Interest and dividends expense. Management believes that this measurement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market making activities.</w:t>
      </w:r>
    </w:p>
    <w:p>
      <w:pPr>
        <w:spacing w:after="0" w:line="72" w:lineRule="exact"/>
        <w:rPr>
          <w:rFonts w:ascii="Times New Roman" w:cs="Times New Roman" w:eastAsia="Times New Roman" w:hAnsi="Times New Roman"/>
          <w:sz w:val="17"/>
          <w:szCs w:val="17"/>
          <w:color w:val="auto"/>
        </w:rPr>
      </w:pPr>
    </w:p>
    <w:p>
      <w:pPr>
        <w:ind w:left="1020" w:right="100" w:hanging="229"/>
        <w:spacing w:after="0" w:line="267" w:lineRule="auto"/>
        <w:tabs>
          <w:tab w:leader="none" w:pos="10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reserves for legal matters, transaction advisory fees and expenses, termination of office leases, charges related to share-based compensation and other expenses, which includes COVID-19 one-time costs and donations and Other, net.</w:t>
      </w:r>
    </w:p>
    <w:p>
      <w:pPr>
        <w:spacing w:after="0" w:line="65" w:lineRule="exact"/>
        <w:rPr>
          <w:rFonts w:ascii="Times New Roman" w:cs="Times New Roman" w:eastAsia="Times New Roman" w:hAnsi="Times New Roman"/>
          <w:sz w:val="17"/>
          <w:szCs w:val="17"/>
          <w:color w:val="auto"/>
        </w:rPr>
      </w:pPr>
    </w:p>
    <w:p>
      <w:pPr>
        <w:ind w:left="1020" w:right="260" w:hanging="229"/>
        <w:spacing w:after="0" w:line="270" w:lineRule="auto"/>
        <w:tabs>
          <w:tab w:leader="none" w:pos="10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“Normalized Adjusted Net Income”, “Normalized Adjusted Net Income before income taxes”, “Normalized provision for income taxes”, and “Normalized Adjusted EPS”, which we calculate by adjusting Net Income to exclude certain items and other non-cash items, assuming that all vested and unvested Virtu Financial Units have been exchanged for Class A Common Stock, and applying an effective tax rate, which was approximately 24%.</w:t>
      </w:r>
    </w:p>
    <w:p>
      <w:pPr>
        <w:spacing w:after="0" w:line="63" w:lineRule="exact"/>
        <w:rPr>
          <w:rFonts w:ascii="Times New Roman" w:cs="Times New Roman" w:eastAsia="Times New Roman" w:hAnsi="Times New Roman"/>
          <w:sz w:val="17"/>
          <w:szCs w:val="17"/>
          <w:color w:val="auto"/>
        </w:rPr>
      </w:pPr>
    </w:p>
    <w:p>
      <w:pPr>
        <w:ind w:left="1020" w:hanging="229"/>
        <w:spacing w:after="0"/>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Margins, which are calculated by dividing net income, EBITDA, and Adjusted EBITDA by Adjusted Net Trading Income.</w:t>
      </w:r>
    </w:p>
    <w:p>
      <w:pPr>
        <w:spacing w:after="0" w:line="250"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Adjusted Net Trading Income, EBITDA, Adjusted EBITDA, Normalized Adjusted Net Income, Normalized Adjusted Net Income before income taxes, Normalized provision for income taxes, Normalized Adjusted EPS, and Operating Margins (collectively, the “Company's Non-GAAP Measures”) are non-GAAP financial measures used by management in evaluating operating performance and in making strategic decisions. In addition, the Company's Non-GAAP Measures or similar non-GAAP financial measures are used by research analysts, investment bankers and lenders to assess our operating performance. Management believes that the presentation of the Company's Non-GAAP Measures provides useful information to investors regarding our results of operations and cash flows because they assist both investors and management in analyzing and benchmarking the performance and value of our business. The Company's Non-GAAP Measures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the Company's Non-GAAP Measures may not be directly comparable to those of other companies. Although we use the Company's Non-GAAP Measures as financial measures to assess the performance of our business, such use is limited because they do not include certain material costs necessary to operate our business.</w:t>
      </w:r>
    </w:p>
    <w:p>
      <w:pPr>
        <w:spacing w:after="0" w:line="207"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The Company's Non-GAAP Measures should be considered in addition to, and not as a substitute for, Net Income in accordance with U.S. GAAP as a measure of performance. Our presentation of the Company's Non-GAAP Measures should not be construed as an indication that our future results will be unaffected by unusual or nonrecurring items. The Company's Non-GAAP Measures have limitations as analytical tools, and you should not consider them in isolation or as substitutes for analysis of our results as reported under U.S. GAAP. Some of these limitations are:</w:t>
      </w:r>
    </w:p>
    <w:p>
      <w:pPr>
        <w:spacing w:after="0" w:line="194" w:lineRule="exact"/>
        <w:rPr>
          <w:sz w:val="20"/>
          <w:szCs w:val="20"/>
          <w:color w:val="auto"/>
        </w:rPr>
      </w:pPr>
    </w:p>
    <w:p>
      <w:pPr>
        <w:ind w:left="1020" w:hanging="229"/>
        <w:spacing w:after="0"/>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every cash expenditure, future requirements for capital expenditures or contractual commitments;</w:t>
      </w:r>
    </w:p>
    <w:p>
      <w:pPr>
        <w:spacing w:after="0" w:line="118" w:lineRule="exact"/>
        <w:rPr>
          <w:rFonts w:ascii="Times New Roman" w:cs="Times New Roman" w:eastAsia="Times New Roman" w:hAnsi="Times New Roman"/>
          <w:sz w:val="17"/>
          <w:szCs w:val="17"/>
          <w:color w:val="auto"/>
        </w:rPr>
      </w:pPr>
    </w:p>
    <w:p>
      <w:pPr>
        <w:ind w:left="1020" w:right="380" w:hanging="229"/>
        <w:spacing w:after="0" w:line="296" w:lineRule="auto"/>
        <w:tabs>
          <w:tab w:leader="none" w:pos="10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EBITDA-based measures do not reflect the significant interest expense or the cash requirements necessary to service interest or principal payment on our debt;</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1020" w:right="40" w:hanging="229"/>
        <w:spacing w:after="0" w:line="296" w:lineRule="auto"/>
        <w:tabs>
          <w:tab w:leader="none" w:pos="10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41" w:lineRule="exact"/>
        <w:rPr>
          <w:rFonts w:ascii="Times New Roman" w:cs="Times New Roman" w:eastAsia="Times New Roman" w:hAnsi="Times New Roman"/>
          <w:sz w:val="17"/>
          <w:szCs w:val="17"/>
          <w:color w:val="auto"/>
        </w:rPr>
      </w:pPr>
    </w:p>
    <w:p>
      <w:pPr>
        <w:ind w:left="1020" w:hanging="229"/>
        <w:spacing w:after="0"/>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are not adjusted for all non-cash income or expense items that are reflected in our consolidated statements of cash flows;</w:t>
      </w:r>
    </w:p>
    <w:p>
      <w:pPr>
        <w:spacing w:after="0" w:line="118" w:lineRule="exact"/>
        <w:rPr>
          <w:rFonts w:ascii="Times New Roman" w:cs="Times New Roman" w:eastAsia="Times New Roman" w:hAnsi="Times New Roman"/>
          <w:sz w:val="17"/>
          <w:szCs w:val="17"/>
          <w:color w:val="auto"/>
        </w:rPr>
      </w:pPr>
    </w:p>
    <w:p>
      <w:pPr>
        <w:ind w:left="1020" w:hanging="229"/>
        <w:spacing w:after="0"/>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the impact of earnings or charges resulting from matters we consider not to be indicative of our ongoing operations; and</w:t>
      </w:r>
    </w:p>
    <w:p>
      <w:pPr>
        <w:spacing w:after="0" w:line="118" w:lineRule="exact"/>
        <w:rPr>
          <w:rFonts w:ascii="Times New Roman" w:cs="Times New Roman" w:eastAsia="Times New Roman" w:hAnsi="Times New Roman"/>
          <w:sz w:val="17"/>
          <w:szCs w:val="17"/>
          <w:color w:val="auto"/>
        </w:rPr>
      </w:pPr>
    </w:p>
    <w:p>
      <w:pPr>
        <w:ind w:left="1020" w:hanging="229"/>
        <w:spacing w:after="0"/>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limitations on our costs related to transferring earnings from our subsidiaries to us.</w:t>
      </w:r>
    </w:p>
    <w:p>
      <w:pPr>
        <w:spacing w:after="0" w:line="250"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Because of these limitations, the Company's Non-GAAP Measures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the Company's Non-GAAP Measures along with other comparative tools, together with U.S. GAAP measurements, to assist in the evaluation of operating performance. These U.S. GAAP measurements include operating Net Income, cash flows from operations and cash flow data. See below a reconciliation of each of the Company's Non-GAAP Measures to the most directly comparable U.S. GAAP measure.</w:t>
      </w:r>
    </w:p>
    <w:p>
      <w:pPr>
        <w:spacing w:after="0" w:line="198" w:lineRule="exact"/>
        <w:rPr>
          <w:sz w:val="20"/>
          <w:szCs w:val="20"/>
          <w:color w:val="auto"/>
        </w:rPr>
      </w:pPr>
    </w:p>
    <w:p>
      <w:pPr>
        <w:ind w:right="2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 reconciles the Condensed Consolidated Statements of Comprehensive Income to arrive at Adjusted Net Trading Income, EBITDA, Adjusted EBITDA, and Operating Margins for the three months ended March 31, 2022, and 2021.</w:t>
      </w:r>
    </w:p>
    <w:p>
      <w:pPr>
        <w:spacing w:after="0" w:line="206" w:lineRule="exact"/>
        <w:rPr>
          <w:sz w:val="20"/>
          <w:szCs w:val="20"/>
          <w:color w:val="auto"/>
        </w:rPr>
      </w:pPr>
    </w:p>
    <w:tbl>
      <w:tblPr>
        <w:tblLayout w:type="fixed"/>
        <w:tblInd w:w="128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9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Trading income, net to Adjusted Net Trading Income</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Trading income, net</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522,307</w:t>
            </w:r>
          </w:p>
        </w:tc>
        <w:tc>
          <w:tcPr>
            <w:tcW w:w="10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812,743</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21,011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6,997</w:t>
            </w:r>
          </w:p>
        </w:tc>
        <w:tc>
          <w:tcPr>
            <w:tcW w:w="0" w:type="dxa"/>
            <w:vAlign w:val="bottom"/>
          </w:tcPr>
          <w:p>
            <w:pPr>
              <w:spacing w:after="0"/>
              <w:rPr>
                <w:sz w:val="1"/>
                <w:szCs w:val="1"/>
                <w:color w:val="auto"/>
              </w:rPr>
            </w:pPr>
          </w:p>
        </w:tc>
      </w:tr>
      <w:tr>
        <w:trPr>
          <w:trHeight w:val="189"/>
        </w:trPr>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26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154,655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191,649</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Brokerage, exchange, clearance fees and payments for order flow, net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(150,380)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(259,332)</w:t>
            </w:r>
          </w:p>
        </w:tc>
        <w:tc>
          <w:tcPr>
            <w:tcW w:w="0" w:type="dxa"/>
            <w:vAlign w:val="bottom"/>
          </w:tcPr>
          <w:p>
            <w:pPr>
              <w:spacing w:after="0"/>
              <w:rPr>
                <w:sz w:val="1"/>
                <w:szCs w:val="1"/>
                <w:color w:val="auto"/>
              </w:rPr>
            </w:pPr>
          </w:p>
        </w:tc>
      </w:tr>
      <w:tr>
        <w:trPr>
          <w:trHeight w:val="190"/>
        </w:trPr>
        <w:tc>
          <w:tcPr>
            <w:tcW w:w="59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(42,538)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(24,028)</w:t>
            </w:r>
          </w:p>
        </w:tc>
        <w:tc>
          <w:tcPr>
            <w:tcW w:w="0" w:type="dxa"/>
            <w:vAlign w:val="bottom"/>
          </w:tcPr>
          <w:p>
            <w:pPr>
              <w:spacing w:after="0"/>
              <w:rPr>
                <w:sz w:val="1"/>
                <w:szCs w:val="1"/>
                <w:color w:val="auto"/>
              </w:rPr>
            </w:pPr>
          </w:p>
        </w:tc>
      </w:tr>
      <w:tr>
        <w:trPr>
          <w:trHeight w:val="221"/>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Trading Income</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505,055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728,029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Net Income to EBITDA and Adjusted EBITDA</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199,925</w:t>
            </w:r>
          </w:p>
        </w:tc>
        <w:tc>
          <w:tcPr>
            <w:tcW w:w="10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409,232</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Financing interest expense on long-term borrowings</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21,333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19,492</w:t>
            </w:r>
          </w:p>
        </w:tc>
        <w:tc>
          <w:tcPr>
            <w:tcW w:w="0" w:type="dxa"/>
            <w:vAlign w:val="bottom"/>
          </w:tcPr>
          <w:p>
            <w:pPr>
              <w:spacing w:after="0"/>
              <w:rPr>
                <w:sz w:val="1"/>
                <w:szCs w:val="1"/>
                <w:color w:val="auto"/>
              </w:rPr>
            </w:pPr>
          </w:p>
        </w:tc>
      </w:tr>
      <w:tr>
        <w:trPr>
          <w:trHeight w:val="189"/>
        </w:trPr>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Debt issue cost related to debt refinancing, prepayment, and commitment fees</w:t>
            </w:r>
          </w:p>
        </w:tc>
        <w:tc>
          <w:tcPr>
            <w:tcW w:w="26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25,684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1,755</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17,477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16,778</w:t>
            </w:r>
          </w:p>
        </w:tc>
        <w:tc>
          <w:tcPr>
            <w:tcW w:w="0" w:type="dxa"/>
            <w:vAlign w:val="bottom"/>
          </w:tcPr>
          <w:p>
            <w:pPr>
              <w:spacing w:after="0"/>
              <w:rPr>
                <w:sz w:val="1"/>
                <w:szCs w:val="1"/>
                <w:color w:val="auto"/>
              </w:rPr>
            </w:pPr>
          </w:p>
        </w:tc>
      </w:tr>
      <w:tr>
        <w:trPr>
          <w:trHeight w:val="189"/>
        </w:trPr>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26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16,480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18,077</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41,786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80,555</w:t>
            </w:r>
          </w:p>
        </w:tc>
        <w:tc>
          <w:tcPr>
            <w:tcW w:w="0" w:type="dxa"/>
            <w:vAlign w:val="bottom"/>
          </w:tcPr>
          <w:p>
            <w:pPr>
              <w:spacing w:after="0"/>
              <w:rPr>
                <w:sz w:val="1"/>
                <w:szCs w:val="1"/>
                <w:color w:val="auto"/>
              </w:rPr>
            </w:pPr>
          </w:p>
        </w:tc>
      </w:tr>
      <w:tr>
        <w:trPr>
          <w:trHeight w:val="183"/>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322,685</w:t>
            </w:r>
          </w:p>
        </w:tc>
        <w:tc>
          <w:tcPr>
            <w:tcW w:w="10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545,889</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Severance</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189"/>
        </w:trPr>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Reserve for legal matters</w:t>
            </w:r>
          </w:p>
        </w:tc>
        <w:tc>
          <w:tcPr>
            <w:tcW w:w="26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7,379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3,907</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9"/>
        </w:trPr>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26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1,221</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(3,117)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(1,076)</w:t>
            </w:r>
          </w:p>
        </w:tc>
        <w:tc>
          <w:tcPr>
            <w:tcW w:w="0" w:type="dxa"/>
            <w:vAlign w:val="bottom"/>
          </w:tcPr>
          <w:p>
            <w:pPr>
              <w:spacing w:after="0"/>
              <w:rPr>
                <w:sz w:val="1"/>
                <w:szCs w:val="1"/>
                <w:color w:val="auto"/>
              </w:rPr>
            </w:pPr>
          </w:p>
        </w:tc>
      </w:tr>
      <w:tr>
        <w:trPr>
          <w:trHeight w:val="190"/>
        </w:trPr>
        <w:tc>
          <w:tcPr>
            <w:tcW w:w="59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13,712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12,778</w:t>
            </w:r>
          </w:p>
        </w:tc>
        <w:tc>
          <w:tcPr>
            <w:tcW w:w="0" w:type="dxa"/>
            <w:vAlign w:val="bottom"/>
          </w:tcPr>
          <w:p>
            <w:pPr>
              <w:spacing w:after="0"/>
              <w:rPr>
                <w:sz w:val="1"/>
                <w:szCs w:val="1"/>
                <w:color w:val="auto"/>
              </w:rPr>
            </w:pPr>
          </w:p>
        </w:tc>
      </w:tr>
      <w:tr>
        <w:trPr>
          <w:trHeight w:val="221"/>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343,789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564,725</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Operating Margins</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Income Margin (1)</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56.2 %</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EBITDA Margin (2)</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63.9 %</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75.0 %</w:t>
            </w:r>
          </w:p>
        </w:tc>
        <w:tc>
          <w:tcPr>
            <w:tcW w:w="0" w:type="dxa"/>
            <w:vAlign w:val="bottom"/>
          </w:tcPr>
          <w:p>
            <w:pPr>
              <w:spacing w:after="0"/>
              <w:rPr>
                <w:sz w:val="1"/>
                <w:szCs w:val="1"/>
                <w:color w:val="auto"/>
              </w:rPr>
            </w:pPr>
          </w:p>
        </w:tc>
      </w:tr>
      <w:tr>
        <w:trPr>
          <w:trHeight w:val="182"/>
        </w:trPr>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Adjusted EBITDA Margin (3)</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77.6 %</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0" w:hanging="395"/>
        <w:spacing w:after="0"/>
        <w:tabs>
          <w:tab w:leader="none" w:pos="4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net income by Adjusted Net Trading Income.</w:t>
      </w:r>
    </w:p>
    <w:p>
      <w:pPr>
        <w:spacing w:after="0" w:line="17"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EBITDA by Adjusted Net Trading Income.</w:t>
      </w:r>
    </w:p>
    <w:p>
      <w:pPr>
        <w:ind w:left="400" w:hanging="395"/>
        <w:spacing w:after="0"/>
        <w:tabs>
          <w:tab w:leader="none" w:pos="4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Adjusted EBITDA by Adjusted Net Trading Income.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reconciles Net Income to arrive at Normalized Adjusted Net Income before income taxes, Normalized provision for income taxes,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Normalized Adjusted Net Income and Normalized Adjusted EPS for the three months ended March 31, 2022, and 2021:</w:t>
      </w:r>
    </w:p>
    <w:p>
      <w:pPr>
        <w:spacing w:after="0" w:line="213" w:lineRule="exact"/>
        <w:rPr>
          <w:sz w:val="20"/>
          <w:szCs w:val="20"/>
          <w:color w:val="auto"/>
        </w:rPr>
      </w:pPr>
    </w:p>
    <w:tbl>
      <w:tblPr>
        <w:tblLayout w:type="fixed"/>
        <w:tblInd w:w="136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8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Net Income to Normalized Adjusted Net Income</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199,925</w:t>
            </w:r>
          </w:p>
        </w:tc>
        <w:tc>
          <w:tcPr>
            <w:tcW w:w="10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409,232</w:t>
            </w:r>
          </w:p>
        </w:tc>
        <w:tc>
          <w:tcPr>
            <w:tcW w:w="0" w:type="dxa"/>
            <w:vAlign w:val="bottom"/>
          </w:tcPr>
          <w:p>
            <w:pPr>
              <w:spacing w:after="0"/>
              <w:rPr>
                <w:sz w:val="1"/>
                <w:szCs w:val="1"/>
                <w:color w:val="auto"/>
              </w:rPr>
            </w:pPr>
          </w:p>
        </w:tc>
      </w:tr>
      <w:tr>
        <w:trPr>
          <w:trHeight w:val="204"/>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41,786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80,555</w:t>
            </w:r>
          </w:p>
        </w:tc>
        <w:tc>
          <w:tcPr>
            <w:tcW w:w="0" w:type="dxa"/>
            <w:vAlign w:val="bottom"/>
          </w:tcPr>
          <w:p>
            <w:pPr>
              <w:spacing w:after="0"/>
              <w:rPr>
                <w:sz w:val="1"/>
                <w:szCs w:val="1"/>
                <w:color w:val="auto"/>
              </w:rPr>
            </w:pPr>
          </w:p>
        </w:tc>
      </w:tr>
      <w:tr>
        <w:trPr>
          <w:trHeight w:val="183"/>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241,711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489,787</w:t>
            </w:r>
          </w:p>
        </w:tc>
        <w:tc>
          <w:tcPr>
            <w:tcW w:w="0" w:type="dxa"/>
            <w:vAlign w:val="bottom"/>
          </w:tcPr>
          <w:p>
            <w:pPr>
              <w:spacing w:after="0"/>
              <w:rPr>
                <w:sz w:val="1"/>
                <w:szCs w:val="1"/>
                <w:color w:val="auto"/>
              </w:rPr>
            </w:pPr>
          </w:p>
        </w:tc>
      </w:tr>
      <w:tr>
        <w:trPr>
          <w:trHeight w:val="217"/>
        </w:trPr>
        <w:tc>
          <w:tcPr>
            <w:tcW w:w="5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18,077</w:t>
            </w:r>
          </w:p>
        </w:tc>
        <w:tc>
          <w:tcPr>
            <w:tcW w:w="0" w:type="dxa"/>
            <w:vAlign w:val="bottom"/>
          </w:tcPr>
          <w:p>
            <w:pPr>
              <w:spacing w:after="0"/>
              <w:rPr>
                <w:sz w:val="1"/>
                <w:szCs w:val="1"/>
                <w:color w:val="auto"/>
              </w:rPr>
            </w:pPr>
          </w:p>
        </w:tc>
      </w:tr>
      <w:tr>
        <w:trPr>
          <w:trHeight w:val="204"/>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Debt issue cost related to debt refinancing, prepayment, and commitment fees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0" w:type="dxa"/>
            <w:vAlign w:val="bottom"/>
          </w:tcPr>
          <w:p>
            <w:pPr>
              <w:spacing w:after="0"/>
              <w:rPr>
                <w:sz w:val="1"/>
                <w:szCs w:val="1"/>
                <w:color w:val="auto"/>
              </w:rPr>
            </w:pPr>
          </w:p>
        </w:tc>
      </w:tr>
      <w:tr>
        <w:trPr>
          <w:trHeight w:val="189"/>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Reserve for legal matters</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3,907</w:t>
            </w:r>
          </w:p>
        </w:tc>
        <w:tc>
          <w:tcPr>
            <w:tcW w:w="0" w:type="dxa"/>
            <w:vAlign w:val="bottom"/>
          </w:tcPr>
          <w:p>
            <w:pPr>
              <w:spacing w:after="0"/>
              <w:rPr>
                <w:sz w:val="1"/>
                <w:szCs w:val="1"/>
                <w:color w:val="auto"/>
              </w:rPr>
            </w:pPr>
          </w:p>
        </w:tc>
      </w:tr>
      <w:tr>
        <w:trPr>
          <w:trHeight w:val="204"/>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Severance</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189"/>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4"/>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0" w:type="dxa"/>
            <w:vAlign w:val="bottom"/>
          </w:tcPr>
          <w:p>
            <w:pPr>
              <w:spacing w:after="0"/>
              <w:rPr>
                <w:sz w:val="1"/>
                <w:szCs w:val="1"/>
                <w:color w:val="auto"/>
              </w:rPr>
            </w:pPr>
          </w:p>
        </w:tc>
      </w:tr>
      <w:tr>
        <w:trPr>
          <w:trHeight w:val="189"/>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0" w:type="dxa"/>
            <w:vAlign w:val="bottom"/>
          </w:tcPr>
          <w:p>
            <w:pPr>
              <w:spacing w:after="0"/>
              <w:rPr>
                <w:sz w:val="1"/>
                <w:szCs w:val="1"/>
                <w:color w:val="auto"/>
              </w:rPr>
            </w:pPr>
          </w:p>
        </w:tc>
      </w:tr>
      <w:tr>
        <w:trPr>
          <w:trHeight w:val="204"/>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12,778</w:t>
            </w:r>
          </w:p>
        </w:tc>
        <w:tc>
          <w:tcPr>
            <w:tcW w:w="0" w:type="dxa"/>
            <w:vAlign w:val="bottom"/>
          </w:tcPr>
          <w:p>
            <w:pPr>
              <w:spacing w:after="0"/>
              <w:rPr>
                <w:sz w:val="1"/>
                <w:szCs w:val="1"/>
                <w:color w:val="auto"/>
              </w:rPr>
            </w:pPr>
          </w:p>
        </w:tc>
      </w:tr>
      <w:tr>
        <w:trPr>
          <w:trHeight w:val="183"/>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Normalized Adjusted Net Income before income taxes</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304,979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528,455</w:t>
            </w:r>
          </w:p>
        </w:tc>
        <w:tc>
          <w:tcPr>
            <w:tcW w:w="0" w:type="dxa"/>
            <w:vAlign w:val="bottom"/>
          </w:tcPr>
          <w:p>
            <w:pPr>
              <w:spacing w:after="0"/>
              <w:rPr>
                <w:sz w:val="1"/>
                <w:szCs w:val="1"/>
                <w:color w:val="auto"/>
              </w:rPr>
            </w:pPr>
          </w:p>
        </w:tc>
      </w:tr>
      <w:tr>
        <w:trPr>
          <w:trHeight w:val="204"/>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Normalized provision for income taxes (1)</w:t>
            </w: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73,195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126,829</w:t>
            </w:r>
          </w:p>
        </w:tc>
        <w:tc>
          <w:tcPr>
            <w:tcW w:w="0" w:type="dxa"/>
            <w:vAlign w:val="bottom"/>
          </w:tcPr>
          <w:p>
            <w:pPr>
              <w:spacing w:after="0"/>
              <w:rPr>
                <w:sz w:val="1"/>
                <w:szCs w:val="1"/>
                <w:color w:val="auto"/>
              </w:rPr>
            </w:pPr>
          </w:p>
        </w:tc>
      </w:tr>
      <w:tr>
        <w:trPr>
          <w:trHeight w:val="18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Normalized Adjusted Net Income</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231,784</w:t>
            </w:r>
          </w:p>
        </w:tc>
        <w:tc>
          <w:tcPr>
            <w:tcW w:w="100" w:type="dxa"/>
            <w:vAlign w:val="bottom"/>
          </w:tcPr>
          <w:p>
            <w:pPr>
              <w:spacing w:after="0"/>
              <w:rPr>
                <w:sz w:val="15"/>
                <w:szCs w:val="15"/>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401,626</w:t>
            </w:r>
          </w:p>
        </w:tc>
        <w:tc>
          <w:tcPr>
            <w:tcW w:w="0" w:type="dxa"/>
            <w:vAlign w:val="bottom"/>
          </w:tcPr>
          <w:p>
            <w:pPr>
              <w:spacing w:after="0"/>
              <w:rPr>
                <w:sz w:val="1"/>
                <w:szCs w:val="1"/>
                <w:color w:val="auto"/>
              </w:rPr>
            </w:pPr>
          </w:p>
        </w:tc>
      </w:tr>
      <w:tr>
        <w:trPr>
          <w:trHeight w:val="269"/>
        </w:trPr>
        <w:tc>
          <w:tcPr>
            <w:tcW w:w="5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Adjusted shares outstanding (2)</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183,172,671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196,951,685</w:t>
            </w:r>
          </w:p>
        </w:tc>
        <w:tc>
          <w:tcPr>
            <w:tcW w:w="0" w:type="dxa"/>
            <w:vAlign w:val="bottom"/>
          </w:tcPr>
          <w:p>
            <w:pPr>
              <w:spacing w:after="0"/>
              <w:rPr>
                <w:sz w:val="1"/>
                <w:szCs w:val="1"/>
                <w:color w:val="auto"/>
              </w:rPr>
            </w:pPr>
          </w:p>
        </w:tc>
      </w:tr>
      <w:tr>
        <w:trPr>
          <w:trHeight w:val="269"/>
        </w:trPr>
        <w:tc>
          <w:tcPr>
            <w:tcW w:w="5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Normalized Adjusted EPS</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5"/>
                <w:szCs w:val="15"/>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846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46580" cy="8255"/>
                    </a:xfrm>
                    <a:prstGeom prst="rect">
                      <a:avLst/>
                    </a:prstGeom>
                    <a:noFill/>
                  </pic:spPr>
                </pic:pic>
              </a:graphicData>
            </a:graphic>
          </wp:anchor>
        </w:drawing>
      </w:r>
    </w:p>
    <w:p>
      <w:pPr>
        <w:spacing w:after="0" w:line="268" w:lineRule="exact"/>
        <w:rPr>
          <w:sz w:val="20"/>
          <w:szCs w:val="20"/>
          <w:color w:val="auto"/>
        </w:rPr>
      </w:pPr>
    </w:p>
    <w:p>
      <w:pPr>
        <w:ind w:left="400" w:hanging="395"/>
        <w:spacing w:after="0"/>
        <w:tabs>
          <w:tab w:leader="none" w:pos="4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U.S. federal, state, and local income tax rate applicable to corporations of approximately 24% for all periods presented.</w:t>
      </w:r>
    </w:p>
    <w:p>
      <w:pPr>
        <w:spacing w:after="0" w:line="17" w:lineRule="exact"/>
        <w:rPr>
          <w:rFonts w:ascii="Times New Roman" w:cs="Times New Roman" w:eastAsia="Times New Roman" w:hAnsi="Times New Roman"/>
          <w:sz w:val="16"/>
          <w:szCs w:val="16"/>
          <w:color w:val="auto"/>
        </w:rPr>
      </w:pPr>
    </w:p>
    <w:p>
      <w:pPr>
        <w:ind w:left="400" w:hanging="395"/>
        <w:spacing w:after="0" w:line="264" w:lineRule="auto"/>
        <w:tabs>
          <w:tab w:leader="none" w:pos="4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dilutive impact of options, restricted stock units and restricted stock awards outstanding under the Amended and Restated 2015 Management Incentive Plan and the Amended and Restated ITG 2007 Equity Plan during the three months ended March 31, 2022, and 2021.</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tables reconcile Trading income, net to Adjusted Net Trading Income by segment for the three months ended March 31, 2022, and 2021:</w:t>
      </w:r>
    </w:p>
    <w:p>
      <w:pPr>
        <w:spacing w:after="0" w:line="200" w:lineRule="exact"/>
        <w:rPr>
          <w:sz w:val="20"/>
          <w:szCs w:val="20"/>
          <w:color w:val="auto"/>
        </w:rPr>
      </w:pPr>
    </w:p>
    <w:p>
      <w:pPr>
        <w:spacing w:after="0" w:line="201"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516,358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5,949</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522,307</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145,607</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154,655</w:t>
            </w: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21,011</w:t>
            </w:r>
          </w:p>
        </w:tc>
        <w:tc>
          <w:tcPr>
            <w:tcW w:w="0" w:type="dxa"/>
            <w:vAlign w:val="bottom"/>
          </w:tcPr>
          <w:p>
            <w:pPr>
              <w:spacing w:after="0"/>
              <w:rPr>
                <w:sz w:val="1"/>
                <w:szCs w:val="1"/>
                <w:color w:val="auto"/>
              </w:rPr>
            </w:pPr>
          </w:p>
        </w:tc>
      </w:tr>
      <w:tr>
        <w:trPr>
          <w:trHeight w:val="131"/>
        </w:trPr>
        <w:tc>
          <w:tcPr>
            <w:tcW w:w="37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color w:val="auto"/>
              </w:rPr>
              <w:t>Brokerage, exchange, clearance fees and payments for order</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(123,515)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(26,865)</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(150,380)</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flow, net</w:t>
            </w: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(42,538)</w:t>
            </w:r>
          </w:p>
        </w:tc>
        <w:tc>
          <w:tcPr>
            <w:tcW w:w="0" w:type="dxa"/>
            <w:vAlign w:val="bottom"/>
          </w:tcPr>
          <w:p>
            <w:pPr>
              <w:spacing w:after="0"/>
              <w:rPr>
                <w:sz w:val="1"/>
                <w:szCs w:val="1"/>
                <w:color w:val="auto"/>
              </w:rPr>
            </w:pPr>
          </w:p>
        </w:tc>
      </w:t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381,846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123,209</w:t>
            </w:r>
          </w:p>
        </w:tc>
        <w:tc>
          <w:tcPr>
            <w:tcW w:w="10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505,055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tbl>
      <w:tblPr>
        <w:tblLayout w:type="fixed"/>
        <w:tblInd w:w="122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801,281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11,462</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812,743</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177,519</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191,649</w:t>
            </w: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6,997</w:t>
            </w:r>
          </w:p>
        </w:tc>
        <w:tc>
          <w:tcPr>
            <w:tcW w:w="0" w:type="dxa"/>
            <w:vAlign w:val="bottom"/>
          </w:tcPr>
          <w:p>
            <w:pPr>
              <w:spacing w:after="0"/>
              <w:rPr>
                <w:sz w:val="1"/>
                <w:szCs w:val="1"/>
                <w:color w:val="auto"/>
              </w:rPr>
            </w:pPr>
          </w:p>
        </w:tc>
      </w:tr>
      <w:tr>
        <w:trPr>
          <w:trHeight w:val="135"/>
        </w:trPr>
        <w:tc>
          <w:tcPr>
            <w:tcW w:w="37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Brokerage, exchange, clearance fees and payments for order</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(223,195)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(36,137)</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(259,332)</w:t>
            </w:r>
          </w:p>
        </w:tc>
        <w:tc>
          <w:tcPr>
            <w:tcW w:w="0" w:type="dxa"/>
            <w:vAlign w:val="bottom"/>
          </w:tcPr>
          <w:p>
            <w:pPr>
              <w:spacing w:after="0"/>
              <w:rPr>
                <w:sz w:val="1"/>
                <w:szCs w:val="1"/>
                <w:color w:val="auto"/>
              </w:rPr>
            </w:pPr>
          </w:p>
        </w:tc>
      </w:tr>
      <w:tr>
        <w:trPr>
          <w:trHeight w:val="188"/>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flow, net</w:t>
            </w: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(24,028)</w:t>
            </w:r>
          </w:p>
        </w:tc>
        <w:tc>
          <w:tcPr>
            <w:tcW w:w="0" w:type="dxa"/>
            <w:vAlign w:val="bottom"/>
          </w:tcPr>
          <w:p>
            <w:pPr>
              <w:spacing w:after="0"/>
              <w:rPr>
                <w:sz w:val="1"/>
                <w:szCs w:val="1"/>
                <w:color w:val="auto"/>
              </w:rPr>
            </w:pPr>
          </w:p>
        </w:tc>
      </w:t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575,123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152,906</w:t>
            </w:r>
          </w:p>
        </w:tc>
        <w:tc>
          <w:tcPr>
            <w:tcW w:w="10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728,029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shows our Adjusted Net Trading Income and average daily Adjusted Net Trading Income by segment for the three months ended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2022, and 2021:</w:t>
      </w:r>
    </w:p>
    <w:p>
      <w:pPr>
        <w:spacing w:after="0" w:line="396" w:lineRule="exact"/>
        <w:rPr>
          <w:sz w:val="20"/>
          <w:szCs w:val="20"/>
          <w:color w:val="auto"/>
        </w:rPr>
      </w:pPr>
    </w:p>
    <w:tbl>
      <w:tblPr>
        <w:tblLayout w:type="fixed"/>
        <w:tblInd w:w="1780" w:type="dxa"/>
        <w:tblCellMar>
          <w:top w:w="0" w:type="dxa"/>
          <w:left w:w="0" w:type="dxa"/>
          <w:bottom w:w="0" w:type="dxa"/>
          <w:right w:w="0" w:type="dxa"/>
        </w:tblCellMar>
      </w:tblPr>
      <w:tr>
        <w:trPr>
          <w:trHeight w:val="184"/>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160" w:type="dxa"/>
            <w:vAlign w:val="bottom"/>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Adjusted Net Trading Income by</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7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84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86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Daily</w:t>
            </w: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Daily</w:t>
            </w: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Making</w:t>
            </w: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381,846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6,159</w:t>
            </w:r>
          </w:p>
        </w:tc>
        <w:tc>
          <w:tcPr>
            <w:tcW w:w="1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75.6 %</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575,123</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9,428</w:t>
            </w:r>
          </w:p>
        </w:tc>
        <w:tc>
          <w:tcPr>
            <w:tcW w:w="1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79.0 %</w:t>
            </w: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Execution Services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152,906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0" w:type="dxa"/>
            <w:vAlign w:val="bottom"/>
          </w:tcPr>
          <w:p>
            <w:pPr>
              <w:spacing w:after="0"/>
              <w:rPr>
                <w:sz w:val="1"/>
                <w:szCs w:val="1"/>
                <w:color w:val="auto"/>
              </w:rPr>
            </w:pPr>
          </w:p>
        </w:tc>
      </w:tr>
      <w:tr>
        <w:trPr>
          <w:trHeight w:val="210"/>
        </w:trPr>
        <w:tc>
          <w:tcPr>
            <w:tcW w:w="2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Net Trading Income</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505,055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8,146</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728,029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11,935</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Three Months Ended March 31, 2022 Compared to Three Months Ended March 31, 2021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Revenues</w:t>
      </w:r>
    </w:p>
    <w:p>
      <w:pPr>
        <w:spacing w:after="0" w:line="254"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17"/>
          <w:szCs w:val="17"/>
          <w:color w:val="auto"/>
        </w:rPr>
        <w:t>Our total revenues decreased $311.3 million, or 30.7%, to $701.3 million for the three months ended March 31, 2022, compared to $1,012.6 million for the three months ended March 31, 2021. The decrease was primarily driven by a decrease of $290.4 million in Trading income, net, which was driven by lower market volumes across global markets and major asset categories as well as a decrease of $37.0 million in Commissions, net and technology services driven lower by decreased market volumes during the three months ended March 31, 2022 compared to the same period in 2021, which experienced elevated levels of market volatility and trading volumes largely due to the impacts of the COVID-19 pandemic and the governmental and other responses thereto.</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shows total revenues by segment for the three months ended March 31, 2022 and 2021.</w:t>
      </w:r>
    </w:p>
    <w:p>
      <w:pPr>
        <w:spacing w:after="0" w:line="47"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percentage)</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0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0" w:type="dxa"/>
            <w:vAlign w:val="bottom"/>
          </w:tcPr>
          <w:p>
            <w:pPr>
              <w:spacing w:after="0"/>
              <w:rPr>
                <w:sz w:val="1"/>
                <w:szCs w:val="1"/>
                <w:color w:val="auto"/>
              </w:rPr>
            </w:pPr>
          </w:p>
        </w:tc>
      </w:tr>
      <w:tr>
        <w:trPr>
          <w:trHeight w:val="18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516,358</w:t>
            </w:r>
          </w:p>
        </w:tc>
        <w:tc>
          <w:tcPr>
            <w:tcW w:w="5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801,281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204"/>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4"/>
                <w:szCs w:val="14"/>
                <w:color w:val="auto"/>
                <w:w w:val="97"/>
              </w:rPr>
              <w:t>204.0%</w:t>
            </w: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204"/>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4"/>
                <w:szCs w:val="14"/>
                <w:color w:val="auto"/>
              </w:rPr>
              <w:t>(87.7)%</w:t>
            </w:r>
          </w:p>
        </w:tc>
        <w:tc>
          <w:tcPr>
            <w:tcW w:w="0" w:type="dxa"/>
            <w:vAlign w:val="bottom"/>
          </w:tcPr>
          <w:p>
            <w:pPr>
              <w:spacing w:after="0"/>
              <w:rPr>
                <w:sz w:val="1"/>
                <w:szCs w:val="1"/>
                <w:color w:val="auto"/>
              </w:rPr>
            </w:pPr>
          </w:p>
        </w:tc>
      </w:tr>
      <w:tr>
        <w:trPr>
          <w:trHeight w:val="190"/>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revenues from Market Making</w:t>
            </w: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546,561</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823,724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5,949</w:t>
            </w:r>
          </w:p>
        </w:tc>
        <w:tc>
          <w:tcPr>
            <w:tcW w:w="54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4"/>
                <w:szCs w:val="14"/>
                <w:color w:val="auto"/>
              </w:rPr>
              <w:t>(48.1)%</w:t>
            </w: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rPr>
              <w:t>(69.8)%</w:t>
            </w:r>
          </w:p>
        </w:tc>
        <w:tc>
          <w:tcPr>
            <w:tcW w:w="0" w:type="dxa"/>
            <w:vAlign w:val="bottom"/>
          </w:tcPr>
          <w:p>
            <w:pPr>
              <w:spacing w:after="0"/>
              <w:rPr>
                <w:sz w:val="1"/>
                <w:szCs w:val="1"/>
                <w:color w:val="auto"/>
              </w:rPr>
            </w:pPr>
          </w:p>
        </w:tc>
      </w:tr>
      <w:tr>
        <w:trPr>
          <w:trHeight w:val="204"/>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145,607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jc w:val="center"/>
              <w:ind w:right="190"/>
              <w:spacing w:after="0"/>
              <w:rPr>
                <w:sz w:val="20"/>
                <w:szCs w:val="20"/>
                <w:color w:val="auto"/>
              </w:rPr>
            </w:pPr>
            <w:r>
              <w:rPr>
                <w:rFonts w:ascii="Times New Roman" w:cs="Times New Roman" w:eastAsia="Times New Roman" w:hAnsi="Times New Roman"/>
                <w:sz w:val="14"/>
                <w:szCs w:val="14"/>
                <w:color w:val="auto"/>
                <w:w w:val="98"/>
              </w:rPr>
              <w:t>(1.2)%</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 from Execution Services</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151,745</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189,239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2,956</w:t>
            </w:r>
          </w:p>
        </w:tc>
        <w:tc>
          <w:tcPr>
            <w:tcW w:w="5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7"/>
              </w:rPr>
              <w:t>NM</w:t>
            </w:r>
          </w:p>
        </w:tc>
        <w:tc>
          <w:tcPr>
            <w:tcW w:w="0" w:type="dxa"/>
            <w:vAlign w:val="bottom"/>
          </w:tcPr>
          <w:p>
            <w:pPr>
              <w:spacing w:after="0"/>
              <w:rPr>
                <w:sz w:val="1"/>
                <w:szCs w:val="1"/>
                <w:color w:val="auto"/>
              </w:rPr>
            </w:pPr>
          </w:p>
        </w:tc>
      </w:tr>
      <w:tr>
        <w:trPr>
          <w:trHeight w:val="221"/>
        </w:trPr>
        <w:tc>
          <w:tcPr>
            <w:tcW w:w="4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 from Corporate</w:t>
            </w:r>
          </w:p>
        </w:tc>
        <w:tc>
          <w:tcPr>
            <w:tcW w:w="38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4"/>
                <w:szCs w:val="14"/>
                <w:color w:val="auto"/>
                <w:w w:val="97"/>
              </w:rPr>
              <w:t>NM</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522,307</w:t>
            </w:r>
          </w:p>
        </w:tc>
        <w:tc>
          <w:tcPr>
            <w:tcW w:w="5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812,743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204"/>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4"/>
                <w:szCs w:val="14"/>
                <w:color w:val="auto"/>
                <w:w w:val="97"/>
              </w:rPr>
              <w:t>200.3%</w:t>
            </w: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154,655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191,649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204"/>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3,289</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4"/>
                <w:szCs w:val="14"/>
                <w:color w:val="auto"/>
                <w:w w:val="95"/>
              </w:rPr>
              <w:t>178.0</w:t>
            </w:r>
          </w:p>
        </w:tc>
        <w:tc>
          <w:tcPr>
            <w:tcW w:w="0" w:type="dxa"/>
            <w:vAlign w:val="bottom"/>
          </w:tcPr>
          <w:p>
            <w:pPr>
              <w:spacing w:after="0"/>
              <w:rPr>
                <w:sz w:val="1"/>
                <w:szCs w:val="1"/>
                <w:color w:val="auto"/>
              </w:rPr>
            </w:pPr>
          </w:p>
        </w:tc>
      </w:tr>
      <w:tr>
        <w:trPr>
          <w:trHeight w:val="190"/>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revenues</w:t>
            </w: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701,262</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1,012,572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Trading income, net. </w:t>
      </w:r>
      <w:r>
        <w:rPr>
          <w:rFonts w:ascii="Times New Roman" w:cs="Times New Roman" w:eastAsia="Times New Roman" w:hAnsi="Times New Roman"/>
          <w:sz w:val="17"/>
          <w:szCs w:val="17"/>
          <w:color w:val="auto"/>
        </w:rPr>
        <w:t>Trading income, net was primarily earned by our Market Making segment. Trading income, net decreased $290.4 million, or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35.7%, to $522.3 million for the three months ended March 31, 2022, compared to $812.7 million for the three months ended March 31, 2021. The decrease was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primarily driven by the lower market volumes across global markets and major asset categories during the three months ended March 31, 2022 compared to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same period in 2021, which experienced elevated levels of market volumes and volatility due to the impacts of COVID-19 and the governmental and other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responses thereto. Average daily U.S. equity consolidated volumes decreased 12.1% in the period compared to the prior period. Rather than analyzing trading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net, in isolation, we evaluate it in the broader context of our Adjusted Net Trading Income, together with Interest and dividends income, Interest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dividends expense, Commissions, net and technology services and Brokerage, exchange, clearance fees and payments for order flow, net, each of which 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described below.</w:t>
      </w:r>
    </w:p>
    <w:p>
      <w:pPr>
        <w:spacing w:after="0" w:line="228" w:lineRule="exact"/>
        <w:rPr>
          <w:sz w:val="20"/>
          <w:szCs w:val="20"/>
          <w:color w:val="auto"/>
        </w:rPr>
      </w:pPr>
    </w:p>
    <w:p>
      <w:pPr>
        <w:ind w:firstLine="62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income. </w:t>
      </w:r>
      <w:r>
        <w:rPr>
          <w:rFonts w:ascii="Times New Roman" w:cs="Times New Roman" w:eastAsia="Times New Roman" w:hAnsi="Times New Roman"/>
          <w:sz w:val="17"/>
          <w:szCs w:val="17"/>
          <w:color w:val="auto"/>
        </w:rPr>
        <w:t>Interest and dividends income was primarily earned by our Market Making segment. Interest and dividends income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increased $14.0 million, or 200.3%, to $21.0 million for the three months ended March 31, 2022, compared to $7.0 million for the three months ended March 31, 2021. This increase was primarily attributable to the higher interest income earned on cash collateral posted as part of securities borrowing transactions for the period compared to the same period during the prior year. As indicated above, rather than analyzing interest and dividends income in isolation, we evaluate it in the broader context of our Adjusted Net Trading Income.</w:t>
      </w:r>
    </w:p>
    <w:p>
      <w:pPr>
        <w:spacing w:after="0" w:line="192" w:lineRule="exact"/>
        <w:rPr>
          <w:sz w:val="20"/>
          <w:szCs w:val="20"/>
          <w:color w:val="auto"/>
        </w:rPr>
      </w:pPr>
    </w:p>
    <w:p>
      <w:pPr>
        <w:ind w:right="80" w:firstLine="62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Commissions, net and technology services. </w:t>
      </w:r>
      <w:r>
        <w:rPr>
          <w:rFonts w:ascii="Times New Roman" w:cs="Times New Roman" w:eastAsia="Times New Roman" w:hAnsi="Times New Roman"/>
          <w:sz w:val="17"/>
          <w:szCs w:val="17"/>
          <w:color w:val="auto"/>
        </w:rPr>
        <w:t>Commissions, net and technology services revenues were primarily earned by our Execution Services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segment. Commissions, net and technology services revenues decreased $37.0 million, or 19.3%, to $154.7 million for the three months ended March 31, 2022, compared to $191.6 million for the three months ended March 31, 2021. The decrease was primarily driven by lower market volumes during the three months ended March 31, 2022 compared to the same period in 2021. The average daily U.S. equity consolidated volume decreased 12.1% during the period compared to the prior period.</w:t>
      </w:r>
    </w:p>
    <w:p>
      <w:pPr>
        <w:spacing w:after="0" w:line="192" w:lineRule="exact"/>
        <w:rPr>
          <w:sz w:val="20"/>
          <w:szCs w:val="20"/>
          <w:color w:val="auto"/>
        </w:rPr>
      </w:pPr>
    </w:p>
    <w:p>
      <w:pPr>
        <w:ind w:right="4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net. </w:t>
      </w:r>
      <w:r>
        <w:rPr>
          <w:rFonts w:ascii="Times New Roman" w:cs="Times New Roman" w:eastAsia="Times New Roman" w:hAnsi="Times New Roman"/>
          <w:sz w:val="17"/>
          <w:szCs w:val="17"/>
          <w:color w:val="auto"/>
        </w:rPr>
        <w:t>Other, net increased $2.1 million, or 178.0%, to $3.3 million for the three months ended March 31, 2022, compared to $1.2 million for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three months ended March 31, 2021. The increase was primarily due to a $5.2 million unrealized gain on the minority investment in JNX (see Note 9 "Financial Assets and Liabilities" of Part I Item 1 “Financial Statements” of this Quarterly Report on Form 10-Q for details on the JNX Investment).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Net Trading Income</w:t>
      </w:r>
    </w:p>
    <w:p>
      <w:pPr>
        <w:spacing w:after="0" w:line="254"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Adjusted Net Trading Income decreased $223.0 million, or 30.6%, to $505.1 million for the three months ended March 31, 2022, compared to $728.0 million for the three months ended March 31, 2021. This decrease was primarily attributable to lower Trading income, net in the Market Making segment driven by lower market volumes across major asset categories during the three months ended March 31, 2022 compared to the same period in 2021. Average daily U.S. equity consolidated volumes decreased 12.1%. Adjusted Net Trading Income per day decreased $3.8 million, or 31.7%, to $8.1 million for the three months ended March 31, 2022, compared to $11.9 million for the three months ended March 31, 2021. There were 62 trading days for the three months ended March 31, 2022 and 61 trading days for the three months ended March 31, 2021. Adjusted Net Trading Income is a non-GAAP measure.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54"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Our operating expenses decreased $63.2 million, or 12.1%, to $459.6 million for the three months ended March 31, 2022, compared to $522.8 million for the three months ended March 31, 2021. The decrease in operating expenses is primarily due to a decrease in Brokerage, exchange, clearance fees and payments for order flow, net, partially offset by an increase in Interest and dividends expense, and Debt issue cost related to debt refinancing, prepayment and commitment fees described in more detail below.</w:t>
      </w:r>
    </w:p>
    <w:p>
      <w:pPr>
        <w:spacing w:after="0" w:line="190" w:lineRule="exact"/>
        <w:rPr>
          <w:sz w:val="20"/>
          <w:szCs w:val="20"/>
          <w:color w:val="auto"/>
        </w:rPr>
      </w:pPr>
    </w:p>
    <w:p>
      <w:pPr>
        <w:ind w:right="300" w:firstLine="62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Brokerage, exchange, clearance fees and payments for order flow, net. </w:t>
      </w:r>
      <w:r>
        <w:rPr>
          <w:rFonts w:ascii="Times New Roman" w:cs="Times New Roman" w:eastAsia="Times New Roman" w:hAnsi="Times New Roman"/>
          <w:sz w:val="17"/>
          <w:szCs w:val="17"/>
          <w:color w:val="auto"/>
        </w:rPr>
        <w:t>Brokerage exchange, clearance fees and payments for order flow, net,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decreased $109.0 million, or 42.0%, to $150.4 million for the three months ended March 31, 2022, compared to $259.3 million for the three months ended March 31, 2021. This decrease was primarily attributable to the decrease in market volumes during the three months ended March 31, 2022 compared to the same period in 2021. We evaluate this category representing direct costs associated with transacting business, in the broader context of our Adjusted Net Trading Income.</w:t>
      </w:r>
    </w:p>
    <w:p>
      <w:pPr>
        <w:spacing w:after="0" w:line="192" w:lineRule="exact"/>
        <w:rPr>
          <w:sz w:val="20"/>
          <w:szCs w:val="20"/>
          <w:color w:val="auto"/>
        </w:rPr>
      </w:pPr>
    </w:p>
    <w:p>
      <w:pPr>
        <w:ind w:right="36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Communication and data processing. </w:t>
      </w:r>
      <w:r>
        <w:rPr>
          <w:rFonts w:ascii="Times New Roman" w:cs="Times New Roman" w:eastAsia="Times New Roman" w:hAnsi="Times New Roman"/>
          <w:sz w:val="17"/>
          <w:szCs w:val="17"/>
          <w:color w:val="auto"/>
        </w:rPr>
        <w:t>Communication and data processing expense increased $4.1 million, or 8.0%, to $55.8 million for the three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months ended March 31, 2022, compared to $51.7 million for the three months ended March 31, 2021. This increase was primarily due to increased connectivity spending on colocation, subscriber connections and trading membership fees.</w:t>
      </w:r>
    </w:p>
    <w:p>
      <w:pPr>
        <w:spacing w:after="0" w:line="183" w:lineRule="exact"/>
        <w:rPr>
          <w:sz w:val="20"/>
          <w:szCs w:val="20"/>
          <w:color w:val="auto"/>
        </w:rPr>
      </w:pPr>
    </w:p>
    <w:p>
      <w:pPr>
        <w:ind w:right="6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Employee compensation and payroll taxes. </w:t>
      </w:r>
      <w:r>
        <w:rPr>
          <w:rFonts w:ascii="Times New Roman" w:cs="Times New Roman" w:eastAsia="Times New Roman" w:hAnsi="Times New Roman"/>
          <w:sz w:val="17"/>
          <w:szCs w:val="17"/>
          <w:color w:val="auto"/>
        </w:rPr>
        <w:t>Employee compensation and payroll taxes decreased $1.3 million, or 1.2%, to $103.5 million for the three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months ended March 31, 2022, compared to $104.8 million for the three months ended March 31, 2021. The decrease in compensation levels was primarily attributable to a decrease in accrued incentive compensation, which is recorded at management’s discretion and is generally accrued in connection with the overall level of profitability on a year-to-date basis, as well as the anticipated mix of cash and stock-based awards.</w:t>
      </w:r>
    </w:p>
    <w:p>
      <w:pPr>
        <w:spacing w:after="0" w:line="192" w:lineRule="exact"/>
        <w:rPr>
          <w:sz w:val="20"/>
          <w:szCs w:val="20"/>
          <w:color w:val="auto"/>
        </w:rPr>
      </w:pPr>
    </w:p>
    <w:p>
      <w:pPr>
        <w:ind w:right="100" w:firstLine="629"/>
        <w:spacing w:after="0" w:line="296" w:lineRule="auto"/>
        <w:rPr>
          <w:sz w:val="20"/>
          <w:szCs w:val="20"/>
          <w:color w:val="auto"/>
        </w:rPr>
      </w:pPr>
      <w:r>
        <w:rPr>
          <w:rFonts w:ascii="Times New Roman" w:cs="Times New Roman" w:eastAsia="Times New Roman" w:hAnsi="Times New Roman"/>
          <w:sz w:val="17"/>
          <w:szCs w:val="17"/>
          <w:color w:val="auto"/>
        </w:rPr>
        <w:t>We have capitalized and therefore excluded employee compensation and benefits related to software development of $8.5 million and $9.2 million for the three months ended March 31, 2022, and 2021, respectively.</w:t>
      </w:r>
    </w:p>
    <w:p>
      <w:pPr>
        <w:spacing w:after="0" w:line="169" w:lineRule="exact"/>
        <w:rPr>
          <w:sz w:val="20"/>
          <w:szCs w:val="20"/>
          <w:color w:val="auto"/>
        </w:rPr>
      </w:pPr>
    </w:p>
    <w:p>
      <w:pPr>
        <w:ind w:right="6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expense. </w:t>
      </w:r>
      <w:r>
        <w:rPr>
          <w:rFonts w:ascii="Times New Roman" w:cs="Times New Roman" w:eastAsia="Times New Roman" w:hAnsi="Times New Roman"/>
          <w:sz w:val="17"/>
          <w:szCs w:val="17"/>
          <w:color w:val="auto"/>
        </w:rPr>
        <w:t>Interest and dividends expense increased $18.5 million or 77.0% to $42.5 million for the three months ended March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31, 2022, compared to $24.0 million for the three months ended March 31, 2021. This increase was primarily attributable to higher interest expense incurred on cash collateral received as part of securities lending transactions. As indicated above, rather than analyzing interest and dividends expense in isolation, we evaluate it in the broader context of our Adjusted Net Trading Income.</w:t>
      </w:r>
    </w:p>
    <w:p>
      <w:pPr>
        <w:spacing w:after="0" w:line="188" w:lineRule="exact"/>
        <w:rPr>
          <w:sz w:val="20"/>
          <w:szCs w:val="20"/>
          <w:color w:val="auto"/>
        </w:rPr>
      </w:pPr>
    </w:p>
    <w:p>
      <w:pPr>
        <w:ind w:right="34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Operations and administrative. </w:t>
      </w:r>
      <w:r>
        <w:rPr>
          <w:rFonts w:ascii="Times New Roman" w:cs="Times New Roman" w:eastAsia="Times New Roman" w:hAnsi="Times New Roman"/>
          <w:sz w:val="17"/>
          <w:szCs w:val="17"/>
          <w:color w:val="auto"/>
        </w:rPr>
        <w:t>Operations and administrative expense remained consistent at $25.2 million for the three months ended March 31,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2022, compared to $25.7 million for the three months ended March 31, 2021.</w:t>
      </w:r>
    </w:p>
    <w:p>
      <w:pPr>
        <w:spacing w:after="0" w:line="165" w:lineRule="exact"/>
        <w:rPr>
          <w:sz w:val="20"/>
          <w:szCs w:val="20"/>
          <w:color w:val="auto"/>
        </w:rPr>
      </w:pPr>
    </w:p>
    <w:p>
      <w:pPr>
        <w:ind w:right="48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and amortization. </w:t>
      </w:r>
      <w:r>
        <w:rPr>
          <w:rFonts w:ascii="Times New Roman" w:cs="Times New Roman" w:eastAsia="Times New Roman" w:hAnsi="Times New Roman"/>
          <w:sz w:val="17"/>
          <w:szCs w:val="17"/>
          <w:color w:val="auto"/>
        </w:rPr>
        <w:t>Depreciation and amortization remained consistent at $17.5 million for the three months ended March 31, 2022,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compared to $16.8 million for the three months ended March 31, 2021.</w:t>
      </w:r>
    </w:p>
    <w:p>
      <w:pPr>
        <w:spacing w:after="0" w:line="165" w:lineRule="exact"/>
        <w:rPr>
          <w:sz w:val="20"/>
          <w:szCs w:val="20"/>
          <w:color w:val="auto"/>
        </w:rPr>
      </w:pPr>
    </w:p>
    <w:p>
      <w:pPr>
        <w:ind w:right="10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Amortization of purchased intangibles and acquired capitalized software. </w:t>
      </w:r>
      <w:r>
        <w:rPr>
          <w:rFonts w:ascii="Times New Roman" w:cs="Times New Roman" w:eastAsia="Times New Roman" w:hAnsi="Times New Roman"/>
          <w:sz w:val="17"/>
          <w:szCs w:val="17"/>
          <w:color w:val="auto"/>
        </w:rPr>
        <w:t>Amortization of purchased intangibles and acquired capitalized software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decreased $1.6 million, or 8.8%, to $16.5 million for the three months ended March 31, 2022, compared to $18.1 million for the three months ended March 31, 2021. This decrease was due to certain intangible assets being fully amortized.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6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Termination of office leases. </w:t>
      </w:r>
      <w:r>
        <w:rPr>
          <w:rFonts w:ascii="Times New Roman" w:cs="Times New Roman" w:eastAsia="Times New Roman" w:hAnsi="Times New Roman"/>
          <w:sz w:val="17"/>
          <w:szCs w:val="17"/>
          <w:color w:val="auto"/>
        </w:rPr>
        <w:t>Termination of office leases remained consistent at $0.7 million for the three months ended March 31, 2022, compared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$1.2 million for the three months ended March 31, 2021. These expenses are related to the impairment of leasehold improvements and fixed assets for certain abandoned office space.</w:t>
      </w:r>
    </w:p>
    <w:p>
      <w:pPr>
        <w:spacing w:after="0" w:line="183" w:lineRule="exact"/>
        <w:rPr>
          <w:sz w:val="20"/>
          <w:szCs w:val="20"/>
          <w:color w:val="auto"/>
        </w:rPr>
      </w:pPr>
    </w:p>
    <w:p>
      <w:pPr>
        <w:ind w:right="8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Debt issue cost related to debt refinancing, prepayment and commitment fees. </w:t>
      </w:r>
      <w:r>
        <w:rPr>
          <w:rFonts w:ascii="Times New Roman" w:cs="Times New Roman" w:eastAsia="Times New Roman" w:hAnsi="Times New Roman"/>
          <w:sz w:val="17"/>
          <w:szCs w:val="17"/>
          <w:color w:val="auto"/>
        </w:rPr>
        <w:t>Expense from debt issue cost related to debt refinancing, prepayment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commitment fees increased $23.9 million, or 1,363.5%, to $25.7 million for the three months ended March 31, 2022, compared to $1.8 million for the three months ended March 31, 2021. The increase was primarily driven by the acceleration of deferred debt issuance costs as a result of refinancing our long-term debt transaction in January 2022, as described in further detail below.</w:t>
      </w:r>
    </w:p>
    <w:p>
      <w:pPr>
        <w:spacing w:after="0" w:line="188" w:lineRule="exact"/>
        <w:rPr>
          <w:sz w:val="20"/>
          <w:szCs w:val="20"/>
          <w:color w:val="auto"/>
        </w:rPr>
      </w:pPr>
    </w:p>
    <w:p>
      <w:pPr>
        <w:ind w:right="20" w:firstLine="62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Transaction advisory fees and expenses. </w:t>
      </w:r>
      <w:r>
        <w:rPr>
          <w:rFonts w:ascii="Times New Roman" w:cs="Times New Roman" w:eastAsia="Times New Roman" w:hAnsi="Times New Roman"/>
          <w:sz w:val="17"/>
          <w:szCs w:val="17"/>
          <w:color w:val="auto"/>
        </w:rPr>
        <w:t>Transaction advisory fees and expenses remained consistent at $0.4 million for the three months ended March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31, 2022, compared to immaterial amounts incurred during the three months ended March 31, 2021. These expenses were primarily incurred in relation to our strategic investment portfolio.</w:t>
      </w:r>
    </w:p>
    <w:p>
      <w:pPr>
        <w:spacing w:after="0" w:line="176" w:lineRule="exact"/>
        <w:rPr>
          <w:sz w:val="20"/>
          <w:szCs w:val="20"/>
          <w:color w:val="auto"/>
        </w:rPr>
      </w:pPr>
    </w:p>
    <w:p>
      <w:pPr>
        <w:ind w:right="24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interest expense on long-term borrowings. </w:t>
      </w:r>
      <w:r>
        <w:rPr>
          <w:rFonts w:ascii="Times New Roman" w:cs="Times New Roman" w:eastAsia="Times New Roman" w:hAnsi="Times New Roman"/>
          <w:sz w:val="17"/>
          <w:szCs w:val="17"/>
          <w:color w:val="auto"/>
        </w:rPr>
        <w:t>Financing interest expense on long-term borrowings remained consistent at $21.3 million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three months ended March 31, 2022, compared to $19.5 million for the three months ended March 31, 2021.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54" w:lineRule="exact"/>
        <w:rPr>
          <w:sz w:val="20"/>
          <w:szCs w:val="20"/>
          <w:color w:val="auto"/>
        </w:rPr>
      </w:pPr>
    </w:p>
    <w:p>
      <w:pPr>
        <w:ind w:right="20" w:firstLine="629"/>
        <w:spacing w:after="0" w:line="274" w:lineRule="auto"/>
        <w:rPr>
          <w:sz w:val="20"/>
          <w:szCs w:val="20"/>
          <w:color w:val="auto"/>
        </w:rPr>
      </w:pPr>
      <w:r>
        <w:rPr>
          <w:rFonts w:ascii="Times New Roman" w:cs="Times New Roman" w:eastAsia="Times New Roman" w:hAnsi="Times New Roman"/>
          <w:sz w:val="17"/>
          <w:szCs w:val="17"/>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rates were $41.8 million and 17.3% for the three months ended March 31, 2022, compared to $80.6 million and 16.4% for the three months ended March 31, 2021.</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54"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As of March 31, 2022, we had $564.9 million in Cash and cash equivalents. This balance is maintained primarily to support operating activities, for capital expenditures and for short-term access to liquidity, and for other general corporate purposes. As of March 31, 2022, we had borrowings under our prime brokerage credit facilities of approximately $314.3 million, borrowings under our broker dealer facilities of $142.0 million, and long-term debt outstanding in an aggregate principal amount of approximately $1,828.8 million.</w:t>
      </w:r>
    </w:p>
    <w:p>
      <w:pPr>
        <w:spacing w:after="0" w:line="194"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brokers. For purposes of providing additional liquidity, we maintain a committed credit facility and an uncommitted credit facility for our wholly-owned broker-dealer subsidiary, as discussed in Note 8 "Borrowings" of Part I Item 1 “Financial Statements” of this Quarterly Report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Liquidity and Capital Resources</w:t>
      </w:r>
    </w:p>
    <w:p>
      <w:pPr>
        <w:spacing w:after="0" w:line="254" w:lineRule="exact"/>
        <w:rPr>
          <w:sz w:val="20"/>
          <w:szCs w:val="20"/>
          <w:color w:val="auto"/>
        </w:rPr>
      </w:pPr>
    </w:p>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Based on our current level of operations, we believe our cash flows from operations, available cash and cash equivalents, and available borrowings under our broker-dealer credit facilities will be adequate to meet our future liquidity needs for the next twelve months. We anticipate that our primary upcoming cash and liquidity needs will be increased margin requirements from increased trading activities in markets where we currently provide liquidity and in new markets into which we plan to expand. We manage and monitor our margin and liquidity needs on a real-time basis and can adjust our requirements both intra-day and inter-day, as required.</w:t>
      </w:r>
    </w:p>
    <w:p>
      <w:pPr>
        <w:spacing w:after="0" w:line="196" w:lineRule="exact"/>
        <w:rPr>
          <w:sz w:val="20"/>
          <w:szCs w:val="20"/>
          <w:color w:val="auto"/>
        </w:rPr>
      </w:pPr>
    </w:p>
    <w:p>
      <w:pPr>
        <w:ind w:right="100" w:firstLine="629"/>
        <w:spacing w:after="0" w:line="276" w:lineRule="auto"/>
        <w:rPr>
          <w:sz w:val="20"/>
          <w:szCs w:val="20"/>
          <w:color w:val="auto"/>
        </w:rPr>
      </w:pPr>
      <w:r>
        <w:rPr>
          <w:rFonts w:ascii="Times New Roman" w:cs="Times New Roman" w:eastAsia="Times New Roman" w:hAnsi="Times New Roman"/>
          <w:sz w:val="17"/>
          <w:szCs w:val="17"/>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60"/>
        <w:spacing w:after="0" w:line="296" w:lineRule="auto"/>
        <w:rPr>
          <w:sz w:val="20"/>
          <w:szCs w:val="20"/>
          <w:color w:val="auto"/>
        </w:rPr>
      </w:pPr>
      <w:r>
        <w:rPr>
          <w:rFonts w:ascii="Times New Roman" w:cs="Times New Roman" w:eastAsia="Times New Roman" w:hAnsi="Times New Roman"/>
          <w:sz w:val="17"/>
          <w:szCs w:val="17"/>
          <w:color w:val="auto"/>
        </w:rPr>
        <w:t>limits, but we select financial institutions deemed highly credit worthy to minimize risk. We consider highly liquid investments with original maturities of less than three months, when acquired, to be cash equivalents.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Liquidity and Capital Resources</w:t>
      </w:r>
    </w:p>
    <w:p>
      <w:pPr>
        <w:spacing w:after="0" w:line="254" w:lineRule="exact"/>
        <w:rPr>
          <w:sz w:val="20"/>
          <w:szCs w:val="20"/>
          <w:color w:val="auto"/>
        </w:rPr>
      </w:pPr>
    </w:p>
    <w:p>
      <w:pPr>
        <w:ind w:right="160" w:firstLine="629"/>
        <w:spacing w:after="0" w:line="270" w:lineRule="auto"/>
        <w:rPr>
          <w:sz w:val="20"/>
          <w:szCs w:val="20"/>
          <w:color w:val="auto"/>
        </w:rPr>
      </w:pPr>
      <w:r>
        <w:rPr>
          <w:rFonts w:ascii="Times New Roman" w:cs="Times New Roman" w:eastAsia="Times New Roman" w:hAnsi="Times New Roman"/>
          <w:sz w:val="17"/>
          <w:szCs w:val="17"/>
          <w:color w:val="auto"/>
        </w:rPr>
        <w:t>Our principal demand for funds beyond the next twelve months will be payments on our long-term debt, operating lease payments, common stock repurchases under our share repurchase program, and dividend payments. Based on our current level of operations, we believe our cash flow from operations, and ability to raise funding, notably the refinancing of our term loan in January 2022, will be sufficient to fund capital demands. Our long-term debt was rated Ba3, B+, and BB- by Moody's Investors Service, S&amp;P Global Ratings, and Fitch Ratings, respectively, with all firms giving an outlook of Stable.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Receivable Agreements</w:t>
      </w:r>
    </w:p>
    <w:p>
      <w:pPr>
        <w:spacing w:after="0" w:line="241" w:lineRule="exact"/>
        <w:rPr>
          <w:sz w:val="20"/>
          <w:szCs w:val="20"/>
          <w:color w:val="auto"/>
        </w:rPr>
      </w:pPr>
    </w:p>
    <w:p>
      <w:pPr>
        <w:ind w:firstLine="629"/>
        <w:spacing w:after="0" w:line="243" w:lineRule="auto"/>
        <w:rPr>
          <w:sz w:val="20"/>
          <w:szCs w:val="20"/>
          <w:color w:val="auto"/>
        </w:rPr>
      </w:pPr>
      <w:r>
        <w:rPr>
          <w:rFonts w:ascii="Times New Roman" w:cs="Times New Roman" w:eastAsia="Times New Roman" w:hAnsi="Times New Roman"/>
          <w:sz w:val="17"/>
          <w:szCs w:val="17"/>
          <w:color w:val="auto"/>
        </w:rPr>
        <w:t>Generally, 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We will retain the remaining 15% of any such cash tax savings. We expect that future payments to certain direct or indirect equity holders of Virtu Financial described in Note 4 "Tax Receivable Agreements" of Part I Item 1 “Financial Statements” of this Quarterly Report on Form 10-Q are expected to range from approximately $0.4 million to $22.0 million per year over the next 15 years. Such payments will occur only after we have filed our U.S. federal and state income tax returns and realized the cash tax savings from the favorable tax attributes. We made our first payment of $7.0 million in February 2017, our second payment of $12.4 million in September 2018, our third payment of $13.3 million in March 2020, our fourth payment of $16.5 million in April 2021, and our fifth payment of $21.3 million in March 2022. Future payments under the tax receivable agreements in respect of subsequent exchanges would be in addition to these amounts. We currently expect to fund these payments from realized cash tax savings from the favorable tax attributes.</w:t>
      </w:r>
    </w:p>
    <w:p>
      <w:pPr>
        <w:spacing w:after="0" w:line="200" w:lineRule="exact"/>
        <w:rPr>
          <w:sz w:val="20"/>
          <w:szCs w:val="20"/>
          <w:color w:val="auto"/>
        </w:rPr>
      </w:pPr>
    </w:p>
    <w:p>
      <w:pPr>
        <w:spacing w:after="0" w:line="218" w:lineRule="exact"/>
        <w:rPr>
          <w:sz w:val="20"/>
          <w:szCs w:val="20"/>
          <w:color w:val="auto"/>
        </w:rPr>
      </w:pPr>
    </w:p>
    <w:p>
      <w:pPr>
        <w:ind w:right="100" w:firstLine="629"/>
        <w:spacing w:after="0" w:line="265" w:lineRule="auto"/>
        <w:rPr>
          <w:sz w:val="20"/>
          <w:szCs w:val="20"/>
          <w:color w:val="auto"/>
        </w:rPr>
      </w:pPr>
      <w:r>
        <w:rPr>
          <w:rFonts w:ascii="Times New Roman" w:cs="Times New Roman" w:eastAsia="Times New Roman" w:hAnsi="Times New Roman"/>
          <w:sz w:val="17"/>
          <w:szCs w:val="17"/>
          <w:color w:val="auto"/>
        </w:rPr>
        <w:t>Under the tax receivable agreements, as a result of certain types of transactions and other factors, including a transaction resulting in a change of control, we may also be required to make payments to certain direct or indirect equity holders of Virtu Financial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Credit Agreement restricts the ability of our subsidiaries to make distributions to us) such payments will be deferred and will accrue interest until paid.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Capital Requirements</w:t>
      </w:r>
    </w:p>
    <w:p>
      <w:pPr>
        <w:spacing w:after="0" w:line="25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Our principal U.S. subsidiary, Virtu Americas LLC ("VAL") is subject to separate regulation and capital requirements in the U.S. and other</w:t>
      </w:r>
    </w:p>
    <w:p>
      <w:pPr>
        <w:spacing w:after="0" w:line="3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jurisdictions. VAL is a registered U.S. broker-dealer, and its primary regulators include the SEC and the Financial Industry Regulatory Authority ("FINRA").</w:t>
      </w:r>
    </w:p>
    <w:p>
      <w:pPr>
        <w:spacing w:after="0" w:line="232" w:lineRule="exact"/>
        <w:rPr>
          <w:sz w:val="20"/>
          <w:szCs w:val="20"/>
          <w:color w:val="auto"/>
        </w:rPr>
      </w:pPr>
    </w:p>
    <w:p>
      <w:pPr>
        <w:ind w:right="80" w:firstLine="629"/>
        <w:spacing w:after="0" w:line="263" w:lineRule="auto"/>
        <w:rPr>
          <w:sz w:val="20"/>
          <w:szCs w:val="20"/>
          <w:color w:val="auto"/>
        </w:rPr>
      </w:pPr>
      <w:r>
        <w:rPr>
          <w:rFonts w:ascii="Times New Roman" w:cs="Times New Roman" w:eastAsia="Times New Roman" w:hAnsi="Times New Roman"/>
          <w:sz w:val="17"/>
          <w:szCs w:val="17"/>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firm’s liquidation. Additionally, certain applicable rules impose requirements that may have the effect of prohibiting a broker-dealer from distributing or withdrawing capital and requiring prior notice to and/or approval from the SEC and FINRA for certain capital withdrawals. VAL is also subject to rules set forth by NYSE and is required to maintain a certain level of capital in connection with the operation of its designated market maker business.</w:t>
      </w:r>
    </w:p>
    <w:p>
      <w:pPr>
        <w:spacing w:after="0" w:line="203" w:lineRule="exact"/>
        <w:rPr>
          <w:sz w:val="20"/>
          <w:szCs w:val="20"/>
          <w:color w:val="auto"/>
        </w:rPr>
      </w:pPr>
    </w:p>
    <w:p>
      <w:pPr>
        <w:ind w:right="60" w:firstLine="629"/>
        <w:spacing w:after="0" w:line="265" w:lineRule="auto"/>
        <w:rPr>
          <w:sz w:val="20"/>
          <w:szCs w:val="20"/>
          <w:color w:val="auto"/>
        </w:rPr>
      </w:pPr>
      <w:r>
        <w:rPr>
          <w:rFonts w:ascii="Times New Roman" w:cs="Times New Roman" w:eastAsia="Times New Roman" w:hAnsi="Times New Roman"/>
          <w:sz w:val="17"/>
          <w:szCs w:val="17"/>
          <w:color w:val="auto"/>
        </w:rPr>
        <w:t>Our Canadian subsidiaries, Virtu ITG Canada Corp. and Virtu Financial Canada ULC, are subject to regulatory capital requirements and periodic requirements to report their regulatory capital and submit other regulatory reports set forth by the Investment Industry Regulatory Organization of Canada. Our Irish subsidiaries, Virtu Financial Ireland Limited ("VFIL") and Virtu ITG Europe Limited ("VIEL") are regulated by the Central Bank of Ireland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VFIL and VIEL are required to obtain consent prior to receiving capital contributions or making capital distributions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from their regulatory capital. Failure to comply with their regulatory capital requirements could result in regulatory sanction or revocation of their regulatory license. Virtu ITG UK Limited is regulated by the Financial Conduct Authority in the United Kingdom and is subject to similar prudential capital requirements. Virtu ITG Australia Limited, Virtu ITG Hong Kong Limited, and Virtu ITG Singapore Pte Limited are also subject to local regulatory capital requirements and are regulated by the Australian Securities and Investments Commission, the Securities and Futures Commission of Hong Kong, and the Monetary Authority of Singapore, respectively.</w:t>
      </w:r>
    </w:p>
    <w:p>
      <w:pPr>
        <w:spacing w:after="0" w:line="196" w:lineRule="exact"/>
        <w:rPr>
          <w:sz w:val="20"/>
          <w:szCs w:val="20"/>
          <w:color w:val="auto"/>
        </w:rPr>
      </w:pPr>
    </w:p>
    <w:p>
      <w:pPr>
        <w:ind w:right="200" w:firstLine="629"/>
        <w:spacing w:after="0" w:line="296" w:lineRule="auto"/>
        <w:rPr>
          <w:sz w:val="20"/>
          <w:szCs w:val="20"/>
          <w:color w:val="auto"/>
        </w:rPr>
      </w:pPr>
      <w:r>
        <w:rPr>
          <w:rFonts w:ascii="Times New Roman" w:cs="Times New Roman" w:eastAsia="Times New Roman" w:hAnsi="Times New Roman"/>
          <w:sz w:val="17"/>
          <w:szCs w:val="17"/>
          <w:color w:val="auto"/>
        </w:rPr>
        <w:t>See Note 19 "Regulatory Requirement" of Part I Item 1 “Financial Statements” of this Quarterly Report on Form 10-Q for a discussion of regulatory capital requirements of our regulated subsidiaries.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Broker Dealer Credit Facilities, Short-Term Bank Loans, and Prime Brokerage Credit Facilities</w:t>
      </w:r>
    </w:p>
    <w:p>
      <w:pPr>
        <w:spacing w:after="0" w:line="254"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We maintain various broker-dealer facilities and short-term credit facilities as part of our daily trading operations. See Note 8 "Borrowings" of Part I Item 1 “Financial Statements” of this Quarterly Report on Form 10-Q for details on our various credit facilities. As of March 31, 2022, the outstanding principal balance on our broker-dealer facilities was $142.0 million and the outstanding aggregate short-term credit facilities with various prime brokers and other financial institutions from which the Company receives execution or clearing services was approximately $314.3 million, which was netted within Receivables from broker-dealers and clearing organizations on the Condensed Consolidated Statements of Financial Condition of Part I Item 1 “Financial Statements” of this Quarterly Report on Form 10-Q.</w:t>
      </w:r>
    </w:p>
    <w:p>
      <w:pPr>
        <w:spacing w:after="0" w:line="198" w:lineRule="exact"/>
        <w:rPr>
          <w:sz w:val="20"/>
          <w:szCs w:val="20"/>
          <w:color w:val="auto"/>
        </w:rPr>
      </w:pPr>
    </w:p>
    <w:p>
      <w:pPr>
        <w:ind w:right="440" w:firstLine="629"/>
        <w:spacing w:after="0" w:line="263" w:lineRule="auto"/>
        <w:rPr>
          <w:sz w:val="20"/>
          <w:szCs w:val="20"/>
          <w:color w:val="auto"/>
        </w:rPr>
      </w:pPr>
      <w:r>
        <w:rPr>
          <w:rFonts w:ascii="Times New Roman" w:cs="Times New Roman" w:eastAsia="Times New Roman" w:hAnsi="Times New Roman"/>
          <w:sz w:val="17"/>
          <w:szCs w:val="17"/>
          <w:color w:val="auto"/>
        </w:rPr>
        <w:t>On March 20, 2020, a broker-dealer subsidiary of the Company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though no borrowings were made during such period, which is now expired. The Founder Member is an affiliate of Mr. Vincent Viola, the Company’s founder and Chairman Emeritus. Upon the execution of and in consideration for the Lender’s commitments under the Founder Member Loan Facility, the Company delivered to the Founder Member a warrant to purchase shares of the Company’s Class A Common Stock, as described below.</w:t>
      </w:r>
    </w:p>
    <w:p>
      <w:pPr>
        <w:spacing w:after="0" w:line="203"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On March 20, 2020, in connection with and in consideration of the Founder Member’s commitments under the Founder Member Loan Facility, the Company delivered to the Founder Member a warrant (the “Warrant”) to purchase shares of the Company’s Class A Common Stock. Pursuant to the Warrant, the Founder Member was entitled to purchase up to 3,000,000 shares of Class A Common Stock on or after May 22, 2020 up to and including January 15, 2022. If at any time during the term of the Founder Member Loan Facility, the Founder Member Loans equal to or greater than $100 million had remained outstanding for a certain period of time specified in the Warrant, the number of shares would have increased to 10,000,000. The exercise price per share of the Class A Common Stock issuable pursuant to the Warrant was $22.98. The Warrant was exercised on December 17, 2021 for the full 3,000,000 shares of the Company's Class A Common Stock. The Warrant and Class A Common Stock issued pursuant to the Warrant were offered, issued and sold, in reliance on the exemption from the registration requirements of the Securities Act, set forth under Section 4(a)(2) of the Securities Act relating to sales by an issuer not involving any public offering.</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w:t>
      </w:r>
    </w:p>
    <w:p>
      <w:pPr>
        <w:spacing w:after="0" w:line="241" w:lineRule="exact"/>
        <w:rPr>
          <w:sz w:val="20"/>
          <w:szCs w:val="20"/>
          <w:color w:val="auto"/>
        </w:rPr>
      </w:pPr>
    </w:p>
    <w:p>
      <w:pPr>
        <w:ind w:right="40" w:firstLine="629"/>
        <w:spacing w:after="0" w:line="253" w:lineRule="auto"/>
        <w:rPr>
          <w:sz w:val="20"/>
          <w:szCs w:val="20"/>
          <w:color w:val="auto"/>
        </w:rPr>
      </w:pPr>
      <w:r>
        <w:rPr>
          <w:rFonts w:ascii="Times New Roman" w:cs="Times New Roman" w:eastAsia="Times New Roman" w:hAnsi="Times New Roman"/>
          <w:sz w:val="17"/>
          <w:szCs w:val="17"/>
          <w:color w:val="auto"/>
        </w:rPr>
        <w:t>On January 13, 2022 (the “Credit Agreement Closing Date”), Virtu Financial, VFH Parent LLC, a Delaware limited liability company and a subsidiary of Virtu Financial (“VFH”), entered into the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On the Credit Agreement Closing Date, VFH and Virtu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entered into the Credit Agreement. The Credit Agreement provides (i) a senior secured first lien term loan in an aggregate principal amount of</w:t>
      </w:r>
    </w:p>
    <w:p>
      <w:pPr>
        <w:spacing w:after="0" w:line="21"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7"/>
          <w:szCs w:val="17"/>
          <w:color w:val="auto"/>
        </w:rPr>
        <w:t>$1,800.0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0" w:firstLine="629"/>
        <w:spacing w:after="0" w:line="260" w:lineRule="auto"/>
        <w:rPr>
          <w:sz w:val="20"/>
          <w:szCs w:val="20"/>
          <w:color w:val="auto"/>
        </w:rPr>
      </w:pPr>
      <w:r>
        <w:rPr>
          <w:rFonts w:ascii="Times New Roman" w:cs="Times New Roman" w:eastAsia="Times New Roman" w:hAnsi="Times New Roman"/>
          <w:sz w:val="17"/>
          <w:szCs w:val="17"/>
          <w:color w:val="auto"/>
        </w:rPr>
        <w:t>In connection with the ITG Acquisition, Virtu Financial, VFH and the Acquisition Borrower entered into the Acquisition Credit Agreement, with the lenders party thereto, Jefferies Finance LLC, as administrative agent and Jefferies Finance LLC and RBC Capital Markets, as joint lead arrangers and joint bookrunners. The Acquisition Credit Agreement provided (i) the Acquisition First Lien Term Loan Facility in an aggregate principal amount of $1,500.0 million, drawn in its entirety on the ITG Closing Date, of which approximately $404.5 million was borrowed by VFH to repay all amounts outstanding under a previous term loan facility and the remaining approximately $1,095 million was borrowed by the Acquisition Borrower to finance the consideration and fees and expenses paid in connection with the ITG Acquisition, and (ii) a the Acquisition First Lien Revolving Facility, with a $5.0 million letter of credit subfacility and a $5.0 million swing-line subfacility. After the ITG Closing Date, VFH assumed the obligations of the Acquisition Borrower in respect of the acquisition term loans. On October 9, 2019, VFH entered into Amendment No. 1, which amended the Acquisition Credit Agreement dated as of March 1, 2019, to, among other things, provide for $525.0 million in aggregate principal amount of the Acquisition Incremental Term Loans, and amend the related collateral agreement. On March 2, 2020, VFH entered into Amendment No. 2, which further amended the Acquisition Credit Agreement to, among other things, reduce the interest rate spread over adjusted LIBOR or the alternate base rate by 0.50% per annum and eliminated any step-down in the spread based on VFH's first lien leverage ratio. There were no outstanding borrowings under the Acquisition Credit Agreement as of March 31, 2022</w:t>
      </w:r>
    </w:p>
    <w:p>
      <w:pPr>
        <w:spacing w:after="0" w:line="209"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The term loan borrowings and revolver borrowings under the Credit Agreement bear interest at a per annum rate equal to, at the Company’s election, either (i) the greatest of (a) the prime rate in effect, (b) the greater of (1) the federal funds effective rate and (2) the overnight bank funding rate, in each case plus 0.50%, (c) an adjusted term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spacing w:after="0" w:line="205" w:lineRule="exact"/>
        <w:rPr>
          <w:sz w:val="20"/>
          <w:szCs w:val="20"/>
          <w:color w:val="auto"/>
        </w:rPr>
      </w:pPr>
    </w:p>
    <w:p>
      <w:pPr>
        <w:ind w:right="20" w:firstLine="629"/>
        <w:spacing w:after="0" w:line="268" w:lineRule="auto"/>
        <w:rPr>
          <w:sz w:val="20"/>
          <w:szCs w:val="20"/>
          <w:color w:val="auto"/>
        </w:rPr>
      </w:pPr>
      <w:r>
        <w:rPr>
          <w:rFonts w:ascii="Times New Roman" w:cs="Times New Roman" w:eastAsia="Times New Roman" w:hAnsi="Times New Roman"/>
          <w:sz w:val="17"/>
          <w:szCs w:val="17"/>
          <w:color w:val="auto"/>
        </w:rPr>
        <w:t>The revolving facility under the Credit Agreement is subject to a springing net first lien leverage ratio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200" w:lineRule="exact"/>
        <w:rPr>
          <w:sz w:val="20"/>
          <w:szCs w:val="20"/>
          <w:color w:val="auto"/>
        </w:rPr>
      </w:pPr>
    </w:p>
    <w:p>
      <w:pPr>
        <w:spacing w:after="0" w:line="210" w:lineRule="exact"/>
        <w:rPr>
          <w:sz w:val="20"/>
          <w:szCs w:val="20"/>
          <w:color w:val="auto"/>
        </w:rPr>
      </w:pPr>
    </w:p>
    <w:p>
      <w:pPr>
        <w:jc w:val="both"/>
        <w:ind w:right="400" w:firstLine="629"/>
        <w:spacing w:after="0" w:line="270" w:lineRule="auto"/>
        <w:rPr>
          <w:sz w:val="20"/>
          <w:szCs w:val="20"/>
          <w:color w:val="auto"/>
        </w:rPr>
      </w:pPr>
      <w:r>
        <w:rPr>
          <w:rFonts w:ascii="Times New Roman" w:cs="Times New Roman" w:eastAsia="Times New Roman" w:hAnsi="Times New Roman"/>
          <w:sz w:val="17"/>
          <w:szCs w:val="17"/>
          <w:color w:val="auto"/>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spacing w:after="0" w:line="194" w:lineRule="exact"/>
        <w:rPr>
          <w:sz w:val="20"/>
          <w:szCs w:val="20"/>
          <w:color w:val="auto"/>
        </w:rPr>
      </w:pPr>
    </w:p>
    <w:p>
      <w:pPr>
        <w:ind w:right="80" w:firstLine="629"/>
        <w:spacing w:after="0" w:line="276" w:lineRule="auto"/>
        <w:rPr>
          <w:sz w:val="20"/>
          <w:szCs w:val="20"/>
          <w:color w:val="auto"/>
        </w:rPr>
      </w:pPr>
      <w:r>
        <w:rPr>
          <w:rFonts w:ascii="Times New Roman" w:cs="Times New Roman" w:eastAsia="Times New Roman" w:hAnsi="Times New Roman"/>
          <w:sz w:val="17"/>
          <w:szCs w:val="17"/>
          <w:color w:val="auto"/>
        </w:rPr>
        <w:t>Under the Credit Agreement, the term loans will mature on January 13, 2029. The term loans amortize in annual installments equal to 1.0% of the original aggregate principal amount of the term loans. The revolving commitments will terminate on January 13, 2025. As of March 31, 2022, $1,800.0 million was outstanding under the term loans. We were in compliance with all applicable covenants under the Credit Agreement as of March 31, 2022.</w:t>
      </w:r>
    </w:p>
    <w:p>
      <w:pPr>
        <w:spacing w:after="0" w:line="190"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7"/>
          <w:szCs w:val="17"/>
          <w:color w:val="auto"/>
        </w:rPr>
        <w:t>In October 2019, the Company entered into a five-year $525.0 million floating-to-fixed interest rate swap agreement. In January 2020, the Company entered into a five-year $1,000.0 million floating-to-fixed interest rate swap agreement. These two interest rate swaps met the criteria to be considered and were designated as qualifying cash flow hedges under ASC 815 in the first quarter of 2020, and they effectively fixed interest payment obligations on $525.0 million and $1,000.0 million of principal under the Acquisition First Lien Term Loan Facility at rates of 4.3% and 4.4% through September 2024 and January 2025, respectively, based on the interest rates set forth in the Acquisition Credit Agreement.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 In January 2022, in order to align the swap agreements with the Credit Agreement, the Company amended each of the swap agreements to align the floating rate term of such swap agreements to SOFR. The effective fixed interest payment obligations remained at 4.5%, with respect to the earlier maturing swap arrangement, and 4.6% with respect to the later maturing swap arrangement.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54" w:lineRule="exact"/>
        <w:rPr>
          <w:sz w:val="20"/>
          <w:szCs w:val="20"/>
          <w:color w:val="auto"/>
        </w:rPr>
      </w:pPr>
    </w:p>
    <w:p>
      <w:pPr>
        <w:ind w:right="300" w:firstLine="629"/>
        <w:spacing w:after="0" w:line="296" w:lineRule="auto"/>
        <w:rPr>
          <w:sz w:val="20"/>
          <w:szCs w:val="20"/>
          <w:color w:val="auto"/>
        </w:rPr>
      </w:pPr>
      <w:r>
        <w:rPr>
          <w:rFonts w:ascii="Times New Roman" w:cs="Times New Roman" w:eastAsia="Times New Roman" w:hAnsi="Times New Roman"/>
          <w:sz w:val="17"/>
          <w:szCs w:val="17"/>
          <w:color w:val="auto"/>
        </w:rPr>
        <w:t>Our main sources of liquidity are cash flow from the operations of our subsidiaries, our broker-dealer credit facilities (as described above), margin financing provided by our prime brokers and cash on hand.</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table below summarizes our primary sources and uses of cash for the three months ended March 31, 2022, and 2021 and 2020.</w:t>
      </w:r>
    </w:p>
    <w:p>
      <w:pPr>
        <w:spacing w:after="0" w:line="283" w:lineRule="exact"/>
        <w:rPr>
          <w:sz w:val="20"/>
          <w:szCs w:val="20"/>
          <w:color w:val="auto"/>
        </w:rPr>
      </w:pPr>
    </w:p>
    <w:tbl>
      <w:tblPr>
        <w:tblLayout w:type="fixed"/>
        <w:tblInd w:w="126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5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activities</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(255,185)</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133,890</w:t>
            </w:r>
          </w:p>
        </w:tc>
        <w:tc>
          <w:tcPr>
            <w:tcW w:w="0" w:type="dxa"/>
            <w:vAlign w:val="bottom"/>
          </w:tcPr>
          <w:p>
            <w:pPr>
              <w:spacing w:after="0"/>
              <w:rPr>
                <w:sz w:val="1"/>
                <w:szCs w:val="1"/>
                <w:color w:val="auto"/>
              </w:rPr>
            </w:pPr>
          </w:p>
        </w:tc>
      </w:tr>
      <w:tr>
        <w:trPr>
          <w:trHeight w:val="189"/>
        </w:trPr>
        <w:tc>
          <w:tcPr>
            <w:tcW w:w="5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Investing activities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(25,642)</w:t>
            </w:r>
          </w:p>
        </w:tc>
        <w:tc>
          <w:tcPr>
            <w:tcW w:w="0" w:type="dxa"/>
            <w:vAlign w:val="bottom"/>
          </w:tcPr>
          <w:p>
            <w:pPr>
              <w:spacing w:after="0"/>
              <w:rPr>
                <w:sz w:val="1"/>
                <w:szCs w:val="1"/>
                <w:color w:val="auto"/>
              </w:rPr>
            </w:pPr>
          </w:p>
        </w:tc>
      </w:tr>
      <w:tr>
        <w:trPr>
          <w:trHeight w:val="204"/>
        </w:trPr>
        <w:tc>
          <w:tcPr>
            <w:tcW w:w="5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Financing activities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(212,882)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(89,744)</w:t>
            </w:r>
          </w:p>
        </w:tc>
        <w:tc>
          <w:tcPr>
            <w:tcW w:w="0" w:type="dxa"/>
            <w:vAlign w:val="bottom"/>
          </w:tcPr>
          <w:p>
            <w:pPr>
              <w:spacing w:after="0"/>
              <w:rPr>
                <w:sz w:val="1"/>
                <w:szCs w:val="1"/>
                <w:color w:val="auto"/>
              </w:rPr>
            </w:pPr>
          </w:p>
        </w:tc>
      </w:tr>
      <w:tr>
        <w:trPr>
          <w:trHeight w:val="190"/>
        </w:trPr>
        <w:tc>
          <w:tcPr>
            <w:tcW w:w="5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(3,676)</w:t>
            </w:r>
          </w:p>
        </w:tc>
        <w:tc>
          <w:tcPr>
            <w:tcW w:w="0" w:type="dxa"/>
            <w:vAlign w:val="bottom"/>
          </w:tcPr>
          <w:p>
            <w:pPr>
              <w:spacing w:after="0"/>
              <w:rPr>
                <w:sz w:val="1"/>
                <w:szCs w:val="1"/>
                <w:color w:val="auto"/>
              </w:rPr>
            </w:pPr>
          </w:p>
        </w:tc>
      </w:tr>
      <w:tr>
        <w:trPr>
          <w:trHeight w:val="221"/>
        </w:trPr>
        <w:tc>
          <w:tcPr>
            <w:tcW w:w="5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(508,265)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14,828</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39" w:lineRule="exact"/>
        <w:rPr>
          <w:sz w:val="20"/>
          <w:szCs w:val="20"/>
          <w:color w:val="auto"/>
        </w:rPr>
      </w:pPr>
    </w:p>
    <w:p>
      <w:pPr>
        <w:ind w:right="120" w:firstLine="629"/>
        <w:spacing w:after="0" w:line="248" w:lineRule="auto"/>
        <w:rPr>
          <w:sz w:val="20"/>
          <w:szCs w:val="20"/>
          <w:color w:val="auto"/>
        </w:rPr>
      </w:pPr>
      <w:r>
        <w:rPr>
          <w:rFonts w:ascii="Times New Roman" w:cs="Times New Roman" w:eastAsia="Times New Roman" w:hAnsi="Times New Roman"/>
          <w:sz w:val="17"/>
          <w:szCs w:val="17"/>
          <w:color w:val="auto"/>
        </w:rPr>
        <w:t>Net cash used in operating activities was $255.2 million for the three months ended March 31, 2022, compared to net cash provided by operating activities of $133.9 million for the three months ended March 31, 2021. The decrease in net cash provided by operating activities was primarily attributable to an increase in Securities borrowed, an increase in Receivables from broker dealers and clearing organizations, and an increase in Trading assets, at fair value partially offset by an increase in Trading liabilities, at fair value for the three months ended March 31, 2022 compared to the prior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52"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Net cash used in investing activities was $35.0 million for the three months ended March 31, 2022, compared to net cash used in investing activities of $25.6 million for the three months ended March 31, 2021. The increase in cash used in investing activities for the three months ended March 31, 2022 was primarily attributable to an increase in Acquisition of property and equipment during the three months ended March 31, 2022 as compared to the prior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52"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Net cash used in financing activities was $212.9 million for the three months ended March 31, 2022, while net cash used in financing activities was $89.7 million for the three months ended March 31, 2021. The cash used in financing activities for the three months ended March 31, 2022 was primarily attributable to $125.8 million in dividends to stockholders and distributions made to noncontrolling interests and $305.6 million in purchases of treasury stock, partially offset by the net proceeds of $202.2 million from the issuance of the new term loan and repayment of the existing term loan in January 2022. The cash used in financing activities of $89.7 million during the same period of 2020 primarily reflects net dividends to stockholders and distributions to noncontrolling interests, and purchase of treasury stock, partially offset by an increase in short-term borrowings.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2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On February 8, 2018, the Company’s Board of Directors authorized a share repurchase program of up to $50.0 million</w:t>
      </w:r>
    </w:p>
    <w:p>
      <w:pPr>
        <w:spacing w:after="0" w:line="3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Class A Common Stock and Virtu Financial Units, which was expanded to $100.0 million on July 27, 2018. The Company repurchased approximately 2.6 million shares of Class A Common Stock and Virtu Financial Units for approximately $65.9 million under this program, which expired on September 30, 2019.</w:t>
      </w:r>
    </w:p>
    <w:p>
      <w:pPr>
        <w:spacing w:after="0" w:line="191" w:lineRule="exact"/>
        <w:rPr>
          <w:sz w:val="20"/>
          <w:szCs w:val="20"/>
          <w:color w:val="auto"/>
        </w:rPr>
      </w:pPr>
    </w:p>
    <w:p>
      <w:pPr>
        <w:ind w:right="320" w:firstLine="629"/>
        <w:spacing w:after="0" w:line="296" w:lineRule="auto"/>
        <w:rPr>
          <w:sz w:val="20"/>
          <w:szCs w:val="20"/>
          <w:color w:val="auto"/>
        </w:rPr>
      </w:pPr>
      <w:r>
        <w:rPr>
          <w:rFonts w:ascii="Times New Roman" w:cs="Times New Roman" w:eastAsia="Times New Roman" w:hAnsi="Times New Roman"/>
          <w:sz w:val="17"/>
          <w:szCs w:val="17"/>
          <w:color w:val="auto"/>
        </w:rPr>
        <w:t>On November 6, 2020, the Company's Board of Directors authorized a new share repurchase program of up to $100.0 million in Class A common stock and Virtu Financial Units by December 31, 2021.</w:t>
      </w:r>
    </w:p>
    <w:p>
      <w:pPr>
        <w:spacing w:after="0" w:line="173" w:lineRule="exact"/>
        <w:rPr>
          <w:sz w:val="20"/>
          <w:szCs w:val="20"/>
          <w:color w:val="auto"/>
        </w:rPr>
      </w:pPr>
    </w:p>
    <w:p>
      <w:pPr>
        <w:ind w:right="200" w:firstLine="629"/>
        <w:spacing w:after="0" w:line="296" w:lineRule="auto"/>
        <w:rPr>
          <w:sz w:val="20"/>
          <w:szCs w:val="20"/>
          <w:color w:val="auto"/>
        </w:rPr>
      </w:pPr>
      <w:r>
        <w:rPr>
          <w:rFonts w:ascii="Times New Roman" w:cs="Times New Roman" w:eastAsia="Times New Roman" w:hAnsi="Times New Roman"/>
          <w:sz w:val="17"/>
          <w:szCs w:val="17"/>
          <w:color w:val="auto"/>
        </w:rPr>
        <w:t>On February 11, 2021, the Company's Board of Directors authorized the expansion of the Company's share repurchase program, increasing the total authorized amount by $70.0 million to $170.0 million in Class A Common Stock and Virtu Financial Units up to December 31, 2021.</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360" w:firstLine="629"/>
        <w:spacing w:after="0" w:line="276" w:lineRule="auto"/>
        <w:rPr>
          <w:sz w:val="20"/>
          <w:szCs w:val="20"/>
          <w:color w:val="auto"/>
        </w:rPr>
      </w:pPr>
      <w:r>
        <w:rPr>
          <w:rFonts w:ascii="Times New Roman" w:cs="Times New Roman" w:eastAsia="Times New Roman" w:hAnsi="Times New Roman"/>
          <w:sz w:val="17"/>
          <w:szCs w:val="17"/>
          <w:color w:val="auto"/>
        </w:rPr>
        <w:t>On May 4, 2021, the Company's Board of Directors authorized the expansion of the Company's share repurchase program, increasing the total authorized amount by $300 million to $470 million in Class A Common Stock and Virtu Financial Units and extending the duration of the program through May 4, 2022.</w:t>
      </w:r>
    </w:p>
    <w:p>
      <w:pPr>
        <w:spacing w:after="0" w:line="190" w:lineRule="exact"/>
        <w:rPr>
          <w:sz w:val="20"/>
          <w:szCs w:val="20"/>
          <w:color w:val="auto"/>
        </w:rPr>
      </w:pPr>
    </w:p>
    <w:p>
      <w:pPr>
        <w:ind w:right="60" w:firstLine="629"/>
        <w:spacing w:after="0" w:line="296" w:lineRule="auto"/>
        <w:rPr>
          <w:sz w:val="20"/>
          <w:szCs w:val="20"/>
          <w:color w:val="auto"/>
        </w:rPr>
      </w:pPr>
      <w:r>
        <w:rPr>
          <w:rFonts w:ascii="Times New Roman" w:cs="Times New Roman" w:eastAsia="Times New Roman" w:hAnsi="Times New Roman"/>
          <w:sz w:val="17"/>
          <w:szCs w:val="17"/>
          <w:color w:val="auto"/>
        </w:rPr>
        <w:t>On November 3, 2021, the Company's Board of Directors authorized the expansion of the Company's current share repurchase program, increasing the total authorized amount by $750 million to $1,220 million and extended the duration through November 3, 2023.</w:t>
      </w:r>
    </w:p>
    <w:p>
      <w:pPr>
        <w:spacing w:after="0" w:line="173" w:lineRule="exact"/>
        <w:rPr>
          <w:sz w:val="20"/>
          <w:szCs w:val="20"/>
          <w:color w:val="auto"/>
        </w:rPr>
      </w:pPr>
    </w:p>
    <w:p>
      <w:pPr>
        <w:ind w:right="220" w:firstLine="629"/>
        <w:spacing w:after="0" w:line="265" w:lineRule="auto"/>
        <w:rPr>
          <w:sz w:val="20"/>
          <w:szCs w:val="20"/>
          <w:color w:val="auto"/>
        </w:rPr>
      </w:pPr>
      <w:r>
        <w:rPr>
          <w:rFonts w:ascii="Times New Roman" w:cs="Times New Roman" w:eastAsia="Times New Roman" w:hAnsi="Times New Roman"/>
          <w:sz w:val="17"/>
          <w:szCs w:val="17"/>
          <w:color w:val="auto"/>
        </w:rPr>
        <w:t>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March 31, 2022, the Company repurchased approximately 25.1 million shares of Class A Common Stock and Virtu Financial Units for approximately $726.3 million. As of March 31, 2022, the Company has approximately of $493.7 million remaining capacity for future purchases of shares of Class A Common Stock and Virtu Financial Units under the program.</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52"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w:t>
      </w:r>
    </w:p>
    <w:p>
      <w:pPr>
        <w:spacing w:after="0" w:line="196" w:lineRule="exact"/>
        <w:rPr>
          <w:sz w:val="20"/>
          <w:szCs w:val="20"/>
          <w:color w:val="auto"/>
        </w:rPr>
      </w:pPr>
    </w:p>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While our significant accounting policies are described in more detail in the notes to our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Valuation of Financial Instruments</w:t>
      </w:r>
    </w:p>
    <w:p>
      <w:pPr>
        <w:spacing w:after="0" w:line="254" w:lineRule="exact"/>
        <w:rPr>
          <w:sz w:val="20"/>
          <w:szCs w:val="20"/>
          <w:color w:val="auto"/>
        </w:rPr>
      </w:pPr>
    </w:p>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196"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Level 1 — Unadjusted quoted prices in active markets that are accessible at the measurement date for identical, unrestricted assets or liabilities;</w:t>
      </w:r>
    </w:p>
    <w:p>
      <w:pPr>
        <w:spacing w:after="0" w:line="250" w:lineRule="exact"/>
        <w:rPr>
          <w:sz w:val="20"/>
          <w:szCs w:val="20"/>
          <w:color w:val="auto"/>
        </w:rPr>
      </w:pPr>
    </w:p>
    <w:p>
      <w:pPr>
        <w:ind w:right="480" w:firstLine="629"/>
        <w:spacing w:after="0" w:line="296" w:lineRule="auto"/>
        <w:rPr>
          <w:sz w:val="20"/>
          <w:szCs w:val="20"/>
          <w:color w:val="auto"/>
        </w:rPr>
      </w:pPr>
      <w:r>
        <w:rPr>
          <w:rFonts w:ascii="Times New Roman" w:cs="Times New Roman" w:eastAsia="Times New Roman" w:hAnsi="Times New Roman"/>
          <w:sz w:val="17"/>
          <w:szCs w:val="17"/>
          <w:color w:val="auto"/>
        </w:rPr>
        <w:t>Level 2 — Quoted prices in markets that are not active and financial instruments for which all significant inputs are observable, either directly or indirectly; or</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Level 3 — Prices or valuations that require inputs that are both significant to the fair value measurement and unobservable</w:t>
      </w:r>
    </w:p>
    <w:p>
      <w:pPr>
        <w:spacing w:after="0" w:line="237" w:lineRule="exact"/>
        <w:rPr>
          <w:sz w:val="20"/>
          <w:szCs w:val="20"/>
          <w:color w:val="auto"/>
        </w:rPr>
      </w:pPr>
    </w:p>
    <w:p>
      <w:pPr>
        <w:ind w:right="280" w:firstLine="629"/>
        <w:spacing w:after="0" w:line="280" w:lineRule="auto"/>
        <w:rPr>
          <w:sz w:val="20"/>
          <w:szCs w:val="20"/>
          <w:color w:val="auto"/>
        </w:rPr>
      </w:pPr>
      <w:r>
        <w:rPr>
          <w:rFonts w:ascii="Times New Roman" w:cs="Times New Roman" w:eastAsia="Times New Roman" w:hAnsi="Times New Roman"/>
          <w:sz w:val="17"/>
          <w:szCs w:val="17"/>
          <w:color w:val="auto"/>
        </w:rPr>
        <w:t>The fair values for substantially all of our financial instruments owned and financial instruments sold but not yet purchased are based on observable prices and inputs and are classified in levels 1 and 2 of the fair value hierarchy. Instruments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7"/>
          <w:szCs w:val="17"/>
          <w:color w:val="auto"/>
        </w:rPr>
        <w:t>categorized within level 3 of the fair value hierarchy are those which require one or more significant inputs that are not observable. Estimating the fair value of level 3 financial instruments requires judgments to be made. Due to the relative immateriality of our financial instruments classified as level 3, we do not believe that a significant change to the inputs underlying the fair value of our level 3 financial instruments would have a material impact on our consolidated financial statements See Note 9 "Financial Assets and Liabilities" of Part I Item 1 “Financial Statements” of this Quarterly Report on Form 10-Q for further information about fair value measurements.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Trading Income, Net</w:t>
      </w:r>
    </w:p>
    <w:p>
      <w:pPr>
        <w:spacing w:after="0" w:line="252" w:lineRule="exact"/>
        <w:rPr>
          <w:sz w:val="20"/>
          <w:szCs w:val="20"/>
          <w:color w:val="auto"/>
        </w:rPr>
      </w:pPr>
    </w:p>
    <w:p>
      <w:pPr>
        <w:ind w:right="180" w:firstLine="629"/>
        <w:spacing w:after="0" w:line="276" w:lineRule="auto"/>
        <w:rPr>
          <w:sz w:val="20"/>
          <w:szCs w:val="20"/>
          <w:color w:val="auto"/>
        </w:rPr>
      </w:pPr>
      <w:r>
        <w:rPr>
          <w:rFonts w:ascii="Times New Roman" w:cs="Times New Roman" w:eastAsia="Times New Roman" w:hAnsi="Times New Roman"/>
          <w:sz w:val="17"/>
          <w:szCs w:val="17"/>
          <w:color w:val="auto"/>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and Dividends Income/Interest and Dividends Expense</w:t>
      </w:r>
    </w:p>
    <w:p>
      <w:pPr>
        <w:spacing w:after="0" w:line="252" w:lineRule="exact"/>
        <w:rPr>
          <w:sz w:val="20"/>
          <w:szCs w:val="20"/>
          <w:color w:val="auto"/>
        </w:rPr>
      </w:pPr>
    </w:p>
    <w:p>
      <w:pPr>
        <w:ind w:right="180" w:firstLine="629"/>
        <w:spacing w:after="0" w:line="276" w:lineRule="auto"/>
        <w:rPr>
          <w:sz w:val="20"/>
          <w:szCs w:val="20"/>
          <w:color w:val="auto"/>
        </w:rPr>
      </w:pPr>
      <w:r>
        <w:rPr>
          <w:rFonts w:ascii="Times New Roman" w:cs="Times New Roman" w:eastAsia="Times New Roman" w:hAnsi="Times New Roman"/>
          <w:sz w:val="17"/>
          <w:szCs w:val="17"/>
          <w:color w:val="auto"/>
        </w:rPr>
        <w:t>Interest income and interest expense are accrued in accordance with contractual rates. Interest income consists of income earned on collateralized financing arrangements and on cash held by brokers. Interest expense includes interest expense from collateralized transactions, margin and related short-term lending facilities. Dividends are recorded on the ex-dividend date, and interest is recognized on an accrual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Commissions, net and Technology Services</w:t>
      </w:r>
    </w:p>
    <w:p>
      <w:pPr>
        <w:spacing w:after="0" w:line="252" w:lineRule="exact"/>
        <w:rPr>
          <w:sz w:val="20"/>
          <w:szCs w:val="20"/>
          <w:color w:val="auto"/>
        </w:rPr>
      </w:pPr>
    </w:p>
    <w:p>
      <w:pPr>
        <w:ind w:right="40" w:firstLine="629"/>
        <w:spacing w:after="0" w:line="268" w:lineRule="auto"/>
        <w:rPr>
          <w:sz w:val="20"/>
          <w:szCs w:val="20"/>
          <w:color w:val="auto"/>
        </w:rPr>
      </w:pPr>
      <w:r>
        <w:rPr>
          <w:rFonts w:ascii="Times New Roman" w:cs="Times New Roman" w:eastAsia="Times New Roman" w:hAnsi="Times New Roman"/>
          <w:sz w:val="17"/>
          <w:szCs w:val="17"/>
          <w:color w:val="auto"/>
        </w:rPr>
        <w:t>Commissions, net, which primarily comprise commissions and commission equivalents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Condensed Consolidated Statements of Comprehensive Income.</w:t>
      </w:r>
    </w:p>
    <w:p>
      <w:pPr>
        <w:spacing w:after="0" w:line="200" w:lineRule="exact"/>
        <w:rPr>
          <w:sz w:val="20"/>
          <w:szCs w:val="20"/>
          <w:color w:val="auto"/>
        </w:rPr>
      </w:pPr>
    </w:p>
    <w:p>
      <w:pPr>
        <w:spacing w:after="0" w:line="210" w:lineRule="exact"/>
        <w:rPr>
          <w:sz w:val="20"/>
          <w:szCs w:val="20"/>
          <w:color w:val="auto"/>
        </w:rPr>
      </w:pPr>
    </w:p>
    <w:p>
      <w:pPr>
        <w:ind w:right="700" w:firstLine="629"/>
        <w:spacing w:after="0" w:line="296" w:lineRule="auto"/>
        <w:rPr>
          <w:sz w:val="20"/>
          <w:szCs w:val="20"/>
          <w:color w:val="auto"/>
        </w:rPr>
      </w:pPr>
      <w:r>
        <w:rPr>
          <w:rFonts w:ascii="Times New Roman" w:cs="Times New Roman" w:eastAsia="Times New Roman" w:hAnsi="Times New Roman"/>
          <w:sz w:val="17"/>
          <w:szCs w:val="17"/>
          <w:color w:val="auto"/>
        </w:rPr>
        <w:t>Workflow technology revenues consist of order and trade execution management and order routing services we provide through our front-end workflow solutions and network capabilities.</w:t>
      </w:r>
    </w:p>
    <w:p>
      <w:pPr>
        <w:spacing w:after="0" w:line="173"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We provide trade order routing from our execution management system (“EMS”) to our execution services offerings, with each trade order routed through the EMS representing a separate performance obligation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spacing w:after="0" w:line="194" w:lineRule="exact"/>
        <w:rPr>
          <w:sz w:val="20"/>
          <w:szCs w:val="20"/>
          <w:color w:val="auto"/>
        </w:rPr>
      </w:pPr>
    </w:p>
    <w:p>
      <w:pPr>
        <w:ind w:right="480" w:firstLine="629"/>
        <w:spacing w:after="0" w:line="296" w:lineRule="auto"/>
        <w:rPr>
          <w:sz w:val="20"/>
          <w:szCs w:val="20"/>
          <w:color w:val="auto"/>
        </w:rPr>
      </w:pPr>
      <w:r>
        <w:rPr>
          <w:rFonts w:ascii="Times New Roman" w:cs="Times New Roman" w:eastAsia="Times New Roman" w:hAnsi="Times New Roman"/>
          <w:sz w:val="17"/>
          <w:szCs w:val="17"/>
          <w:color w:val="auto"/>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spacing w:after="0" w:line="173"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94" w:lineRule="exact"/>
        <w:rPr>
          <w:sz w:val="20"/>
          <w:szCs w:val="20"/>
          <w:color w:val="auto"/>
        </w:rPr>
      </w:pPr>
    </w:p>
    <w:p>
      <w:pPr>
        <w:ind w:right="140" w:firstLine="629"/>
        <w:spacing w:after="0" w:line="265" w:lineRule="auto"/>
        <w:rPr>
          <w:sz w:val="20"/>
          <w:szCs w:val="20"/>
          <w:color w:val="auto"/>
        </w:rPr>
      </w:pPr>
      <w:r>
        <w:rPr>
          <w:rFonts w:ascii="Times New Roman" w:cs="Times New Roman" w:eastAsia="Times New Roman" w:hAnsi="Times New Roman"/>
          <w:sz w:val="17"/>
          <w:szCs w:val="17"/>
          <w:color w:val="auto"/>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20" w:firstLine="629"/>
        <w:spacing w:after="0" w:line="276" w:lineRule="auto"/>
        <w:rPr>
          <w:sz w:val="20"/>
          <w:szCs w:val="20"/>
          <w:color w:val="auto"/>
        </w:rPr>
      </w:pPr>
      <w:r>
        <w:rPr>
          <w:rFonts w:ascii="Times New Roman" w:cs="Times New Roman" w:eastAsia="Times New Roman" w:hAnsi="Times New Roman"/>
          <w:sz w:val="17"/>
          <w:szCs w:val="17"/>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64" w:lineRule="exact"/>
        <w:rPr>
          <w:sz w:val="20"/>
          <w:szCs w:val="20"/>
          <w:color w:val="auto"/>
        </w:rPr>
      </w:pPr>
    </w:p>
    <w:p>
      <w:pPr>
        <w:ind w:left="1260" w:right="460" w:hanging="626"/>
        <w:spacing w:after="0" w:line="268" w:lineRule="auto"/>
        <w:tabs>
          <w:tab w:leader="none" w:pos="125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commission value for each customer for the products and services it receives, which is priced using the value for similar stand-alone subscription arrangements; and</w:t>
      </w:r>
    </w:p>
    <w:p>
      <w:pPr>
        <w:ind w:left="1260" w:right="540" w:hanging="626"/>
        <w:spacing w:after="0" w:line="274" w:lineRule="auto"/>
        <w:tabs>
          <w:tab w:leader="none" w:pos="125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calculated ratio of the commission value for the products and services relative to the total amount of commissions generated from the customer.</w:t>
      </w:r>
    </w:p>
    <w:p>
      <w:pPr>
        <w:spacing w:after="0" w:line="191" w:lineRule="exact"/>
        <w:rPr>
          <w:sz w:val="20"/>
          <w:szCs w:val="20"/>
          <w:color w:val="auto"/>
        </w:rPr>
      </w:pPr>
    </w:p>
    <w:p>
      <w:pPr>
        <w:ind w:right="40" w:firstLine="629"/>
        <w:spacing w:after="0" w:line="276" w:lineRule="auto"/>
        <w:rPr>
          <w:sz w:val="20"/>
          <w:szCs w:val="20"/>
          <w:color w:val="auto"/>
        </w:rPr>
      </w:pPr>
      <w:r>
        <w:rPr>
          <w:rFonts w:ascii="Times New Roman" w:cs="Times New Roman" w:eastAsia="Times New Roman" w:hAnsi="Times New Roman"/>
          <w:sz w:val="17"/>
          <w:szCs w:val="17"/>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254"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spacing w:after="0" w:line="190"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7"/>
          <w:szCs w:val="17"/>
          <w:color w:val="auto"/>
        </w:rPr>
        <w:t>Share-based awards issued for compensation in connection with or subsequent to the Reorganization Transactions and the IPO pursuant to our Amended and Restated 2015 Management Incentive Plan, and assumed pursuant to the Amended and Restated ITG 2007 Equity Plan, were in the form of stock options, Class A Common Stock, restricted stock awards ("RSAs") and restricted stock units ("RSUs"). The fair value of the stock option grants is determined through the application of the Black-Scholes-Merton model. The fair value of the Class A Common Stock and RSUs is determined based on the volume weighted average price for the three days preceding the grant. With respect to the RSUs, we account for forfeitures as they occur. The fair value of RSAs is determined based on the closing price as of the date of grant. The fair value of share-based awards granted to employees is expensed based on the vesting conditions and is recognized on a straight-line basis over the vesting period, or, in the case of RSAs subject to performance conditions, from the date that achievement becomes probable through the remainder of the vesting period. The assessment of the performance condition becomes certain within the year of grant. We record as treasury stock shares repurchased from employees for the purpose of settling tax liabilities incurred upon the issuance of common stock, the vesting of RSUs or the exercise of stock options.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54" w:lineRule="exact"/>
        <w:rPr>
          <w:sz w:val="20"/>
          <w:szCs w:val="20"/>
          <w:color w:val="auto"/>
        </w:rPr>
      </w:pPr>
    </w:p>
    <w:p>
      <w:pPr>
        <w:ind w:right="260" w:firstLine="629"/>
        <w:spacing w:after="0" w:line="296" w:lineRule="auto"/>
        <w:rPr>
          <w:sz w:val="20"/>
          <w:szCs w:val="20"/>
          <w:color w:val="auto"/>
        </w:rPr>
      </w:pPr>
      <w:r>
        <w:rPr>
          <w:rFonts w:ascii="Times New Roman" w:cs="Times New Roman" w:eastAsia="Times New Roman" w:hAnsi="Times New Roman"/>
          <w:sz w:val="17"/>
          <w:szCs w:val="17"/>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73" w:lineRule="exact"/>
        <w:rPr>
          <w:sz w:val="20"/>
          <w:szCs w:val="20"/>
          <w:color w:val="auto"/>
        </w:rPr>
      </w:pPr>
    </w:p>
    <w:p>
      <w:pPr>
        <w:ind w:right="100" w:firstLine="629"/>
        <w:spacing w:after="0" w:line="276" w:lineRule="auto"/>
        <w:rPr>
          <w:sz w:val="20"/>
          <w:szCs w:val="20"/>
          <w:color w:val="auto"/>
        </w:rPr>
      </w:pPr>
      <w:r>
        <w:rPr>
          <w:rFonts w:ascii="Times New Roman" w:cs="Times New Roman" w:eastAsia="Times New Roman" w:hAnsi="Times New Roman"/>
          <w:sz w:val="17"/>
          <w:szCs w:val="17"/>
          <w:color w:val="auto"/>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90" w:lineRule="exact"/>
        <w:rPr>
          <w:sz w:val="20"/>
          <w:szCs w:val="20"/>
          <w:color w:val="auto"/>
        </w:rPr>
      </w:pPr>
    </w:p>
    <w:p>
      <w:pPr>
        <w:ind w:right="100" w:firstLine="629"/>
        <w:spacing w:after="0" w:line="249" w:lineRule="auto"/>
        <w:rPr>
          <w:sz w:val="20"/>
          <w:szCs w:val="20"/>
          <w:color w:val="auto"/>
        </w:rPr>
      </w:pPr>
      <w:r>
        <w:rPr>
          <w:rFonts w:ascii="Times New Roman" w:cs="Times New Roman" w:eastAsia="Times New Roman" w:hAnsi="Times New Roman"/>
          <w:sz w:val="17"/>
          <w:szCs w:val="17"/>
          <w:color w:val="auto"/>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 We believe the judgments and estimates discussed above are reasonable. However, if actual results are not consistent with our estimates or assumptions, we may be exposed to losses or gains that could be material.</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Receivable Agreements</w:t>
      </w:r>
    </w:p>
    <w:p>
      <w:pPr>
        <w:spacing w:after="0" w:line="254" w:lineRule="exact"/>
        <w:rPr>
          <w:sz w:val="20"/>
          <w:szCs w:val="20"/>
          <w:color w:val="auto"/>
        </w:rPr>
      </w:pPr>
    </w:p>
    <w:p>
      <w:pPr>
        <w:ind w:right="60" w:firstLine="629"/>
        <w:spacing w:after="0" w:line="261" w:lineRule="auto"/>
        <w:rPr>
          <w:sz w:val="20"/>
          <w:szCs w:val="20"/>
          <w:color w:val="auto"/>
        </w:rPr>
      </w:pPr>
      <w:r>
        <w:rPr>
          <w:rFonts w:ascii="Times New Roman" w:cs="Times New Roman" w:eastAsia="Times New Roman" w:hAnsi="Times New Roman"/>
          <w:sz w:val="17"/>
          <w:szCs w:val="17"/>
          <w:color w:val="auto"/>
        </w:rPr>
        <w:t>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An exchange of membership interests by the Virtu Members for Class A Common Stock or Class B Common Stock (an “Exchange”) during the year will give rise to favorable tax attributes that may generate cash tax savings specific to the Exchange, to be realized over a specific period of time (generally 15 years). At each Exchange, we estimate the cumulative tax receivable agreement obligations to be reported on the consolidated financial statements. The tax attributes are computed as the difference between our basis in the partnership interest (“outside basis”) as compared to our share of the adjusted tax basis of partnership property (“inside basis”), at the time of each Exchange. The computation of inside basis requires judgments in estimating the components included in the inside basis as of the date of the Exchange (such as, cash received on hypothetical sale of assets, allocation of gain/loss at the time of the Exchange taking into account complex partnership tax rules). In addition, we estimate the period of time that may generate cash tax savings of such tax attributes and the realizability of the tax attributes.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w:t>
      </w:r>
    </w:p>
    <w:p>
      <w:pPr>
        <w:spacing w:after="0" w:line="254" w:lineRule="exact"/>
        <w:rPr>
          <w:sz w:val="20"/>
          <w:szCs w:val="20"/>
          <w:color w:val="auto"/>
        </w:rPr>
      </w:pPr>
    </w:p>
    <w:p>
      <w:pPr>
        <w:ind w:right="360" w:firstLine="629"/>
        <w:spacing w:after="0" w:line="270" w:lineRule="auto"/>
        <w:rPr>
          <w:sz w:val="20"/>
          <w:szCs w:val="20"/>
          <w:color w:val="auto"/>
        </w:rPr>
      </w:pPr>
      <w:r>
        <w:rPr>
          <w:rFonts w:ascii="Times New Roman" w:cs="Times New Roman" w:eastAsia="Times New Roman" w:hAnsi="Times New Roman"/>
          <w:sz w:val="17"/>
          <w:szCs w:val="17"/>
          <w:color w:val="auto"/>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94" w:lineRule="exact"/>
        <w:rPr>
          <w:sz w:val="20"/>
          <w:szCs w:val="20"/>
          <w:color w:val="auto"/>
        </w:rPr>
      </w:pPr>
    </w:p>
    <w:p>
      <w:pPr>
        <w:jc w:val="both"/>
        <w:ind w:right="60" w:firstLine="629"/>
        <w:spacing w:after="0" w:line="276" w:lineRule="auto"/>
        <w:rPr>
          <w:sz w:val="20"/>
          <w:szCs w:val="20"/>
          <w:color w:val="auto"/>
        </w:rPr>
      </w:pPr>
      <w:r>
        <w:rPr>
          <w:rFonts w:ascii="Times New Roman" w:cs="Times New Roman" w:eastAsia="Times New Roman" w:hAnsi="Times New Roman"/>
          <w:sz w:val="17"/>
          <w:szCs w:val="17"/>
          <w:color w:val="auto"/>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spacing w:after="0" w:line="59" w:lineRule="exact"/>
        <w:rPr>
          <w:sz w:val="20"/>
          <w:szCs w:val="20"/>
          <w:color w:val="auto"/>
        </w:rPr>
      </w:pPr>
    </w:p>
    <w:p>
      <w:pPr>
        <w:ind w:left="1260" w:hanging="312"/>
        <w:spacing w:after="0"/>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w:t>
      </w:r>
    </w:p>
    <w:p>
      <w:pPr>
        <w:spacing w:after="0" w:line="32"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accessing capital;</w:t>
      </w:r>
    </w:p>
    <w:p>
      <w:pPr>
        <w:spacing w:after="0" w:line="14"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foreign exchange rates or other developments in equity and credit markets;</w:t>
      </w:r>
    </w:p>
    <w:p>
      <w:pPr>
        <w:spacing w:after="0" w:line="14" w:lineRule="exact"/>
        <w:rPr>
          <w:rFonts w:ascii="Times New Roman" w:cs="Times New Roman" w:eastAsia="Times New Roman" w:hAnsi="Times New Roman"/>
          <w:sz w:val="17"/>
          <w:szCs w:val="17"/>
          <w:color w:val="auto"/>
        </w:rPr>
      </w:pPr>
    </w:p>
    <w:p>
      <w:pPr>
        <w:ind w:left="640" w:firstLine="308"/>
        <w:spacing w:after="0" w:line="257" w:lineRule="auto"/>
        <w:tabs>
          <w:tab w:leader="none" w:pos="126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and market considerations such as a deterioration in the environment in which an entity operates, an increased competitive environment, a decline in market-dependent multiples or metrics (considered in both absolute terms and relative to peers), a change in the market for an entity’s products or services, or a regulatory or political development;</w:t>
      </w:r>
    </w:p>
    <w:p>
      <w:pPr>
        <w:ind w:left="1260" w:hanging="312"/>
        <w:spacing w:after="0"/>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factors such as increases in raw materials, labor, or other costs that have a negative effect on earnings and cash flows;</w:t>
      </w:r>
    </w:p>
    <w:p>
      <w:pPr>
        <w:spacing w:after="0" w:line="14" w:lineRule="exact"/>
        <w:rPr>
          <w:rFonts w:ascii="Times New Roman" w:cs="Times New Roman" w:eastAsia="Times New Roman" w:hAnsi="Times New Roman"/>
          <w:sz w:val="17"/>
          <w:szCs w:val="17"/>
          <w:color w:val="auto"/>
        </w:rPr>
      </w:pPr>
    </w:p>
    <w:p>
      <w:pPr>
        <w:ind w:left="640" w:right="280" w:firstLine="308"/>
        <w:spacing w:after="0" w:line="257" w:lineRule="auto"/>
        <w:tabs>
          <w:tab w:leader="none" w:pos="126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financial performance such as negative or declining cash flows or a decline in actual or planned revenue or earnings compared with actual and projected results of relevant prior periods;</w:t>
      </w:r>
    </w:p>
    <w:p>
      <w:pPr>
        <w:ind w:left="640" w:right="220" w:firstLine="308"/>
        <w:spacing w:after="0" w:line="274" w:lineRule="auto"/>
        <w:tabs>
          <w:tab w:leader="none" w:pos="126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relevant entity-specific events such as changes in management, key personnel, strategy, or customers, contemplation of bankruptcy, or litigation.</w:t>
      </w:r>
    </w:p>
    <w:p>
      <w:pPr>
        <w:spacing w:after="0" w:line="191" w:lineRule="exact"/>
        <w:rPr>
          <w:sz w:val="20"/>
          <w:szCs w:val="20"/>
          <w:color w:val="auto"/>
        </w:rPr>
      </w:pPr>
    </w:p>
    <w:p>
      <w:pPr>
        <w:ind w:right="240" w:firstLine="629"/>
        <w:spacing w:after="0" w:line="296" w:lineRule="auto"/>
        <w:rPr>
          <w:sz w:val="20"/>
          <w:szCs w:val="20"/>
          <w:color w:val="auto"/>
        </w:rPr>
      </w:pPr>
      <w:r>
        <w:rPr>
          <w:rFonts w:ascii="Times New Roman" w:cs="Times New Roman" w:eastAsia="Times New Roman" w:hAnsi="Times New Roman"/>
          <w:sz w:val="17"/>
          <w:szCs w:val="17"/>
          <w:color w:val="auto"/>
        </w:rPr>
        <w:t>If, after assessing the totality of such events or circumstances, an entity determines that it is not more likely than not that the fair value of a reporting unit is less than its carrying amount, then no further goodwill impairment testing is necessary.</w:t>
      </w:r>
    </w:p>
    <w:p>
      <w:pPr>
        <w:spacing w:after="0" w:line="160" w:lineRule="exact"/>
        <w:rPr>
          <w:sz w:val="20"/>
          <w:szCs w:val="20"/>
          <w:color w:val="auto"/>
        </w:rPr>
      </w:pPr>
    </w:p>
    <w:p>
      <w:pPr>
        <w:ind w:right="180" w:firstLine="629"/>
        <w:spacing w:after="0" w:line="254" w:lineRule="auto"/>
        <w:rPr>
          <w:sz w:val="20"/>
          <w:szCs w:val="20"/>
          <w:color w:val="auto"/>
        </w:rPr>
      </w:pPr>
      <w:r>
        <w:rPr>
          <w:rFonts w:ascii="Times New Roman" w:cs="Times New Roman" w:eastAsia="Times New Roman" w:hAnsi="Times New Roman"/>
          <w:sz w:val="17"/>
          <w:szCs w:val="17"/>
          <w:color w:val="auto"/>
        </w:rPr>
        <w:t>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 Our estimate of goodwill impairment, if indicated based on results of the qualitative assessment, is highly dependent on our estimate of a reporting unit’s fair value.</w:t>
      </w:r>
    </w:p>
    <w:p>
      <w:pPr>
        <w:spacing w:after="0" w:line="207" w:lineRule="exact"/>
        <w:rPr>
          <w:sz w:val="20"/>
          <w:szCs w:val="20"/>
          <w:color w:val="auto"/>
        </w:rPr>
      </w:pPr>
    </w:p>
    <w:p>
      <w:pPr>
        <w:ind w:right="260" w:firstLine="629"/>
        <w:spacing w:after="0" w:line="276" w:lineRule="auto"/>
        <w:rPr>
          <w:sz w:val="20"/>
          <w:szCs w:val="20"/>
          <w:color w:val="auto"/>
        </w:rPr>
      </w:pPr>
      <w:r>
        <w:rPr>
          <w:rFonts w:ascii="Times New Roman" w:cs="Times New Roman" w:eastAsia="Times New Roman" w:hAnsi="Times New Roman"/>
          <w:sz w:val="17"/>
          <w:szCs w:val="17"/>
          <w:color w:val="auto"/>
        </w:rPr>
        <w:t>We assess goodwill for impairment on an annual basis as of July 1st and on an interim basis when certain events or circumstances exist. In the impairment assessment as of July 1, 2021, we performed a qualitative assessment as described above for each reporting unit. No impairment of goodwill was identified.</w:t>
      </w:r>
    </w:p>
    <w:p>
      <w:pPr>
        <w:spacing w:after="0" w:line="177" w:lineRule="exact"/>
        <w:rPr>
          <w:sz w:val="20"/>
          <w:szCs w:val="20"/>
          <w:color w:val="auto"/>
        </w:rPr>
      </w:pPr>
    </w:p>
    <w:p>
      <w:pPr>
        <w:ind w:right="20" w:firstLine="629"/>
        <w:spacing w:after="0" w:line="248" w:lineRule="auto"/>
        <w:rPr>
          <w:sz w:val="20"/>
          <w:szCs w:val="20"/>
          <w:color w:val="auto"/>
        </w:rPr>
      </w:pPr>
      <w:r>
        <w:rPr>
          <w:rFonts w:ascii="Times New Roman" w:cs="Times New Roman" w:eastAsia="Times New Roman" w:hAnsi="Times New Roman"/>
          <w:sz w:val="17"/>
          <w:szCs w:val="17"/>
          <w:color w:val="auto"/>
        </w:rPr>
        <w:t>Valuation of intangible assets involves the use of significant estimates and assumptions with respect to the timing and amounts of revenue growth rates, customer attrition rates, future tax rates, royalty rates, contributory asset charges, discount rate and the resulting cash flows. We amortize finite-lived intangible assets over their estimated useful lives. Our largest finite-lived intangible asset is customer relationships, which is being amortized over an estimated useful life of ten years. Had we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used a shorter estimated useful life of seven years, the Company would have recorded an additional $4.1 million of amortization expense for the for the three months ended March 31, 2022 and 2021. We test finite-lived intangible assets for impairment when impairment indicators are present, and if impaired, they are written down to fair value.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52" w:lineRule="exact"/>
        <w:rPr>
          <w:sz w:val="20"/>
          <w:szCs w:val="20"/>
          <w:color w:val="auto"/>
        </w:rPr>
      </w:pPr>
    </w:p>
    <w:p>
      <w:pPr>
        <w:ind w:right="60" w:firstLine="629"/>
        <w:spacing w:after="0" w:line="296" w:lineRule="auto"/>
        <w:rPr>
          <w:sz w:val="20"/>
          <w:szCs w:val="20"/>
          <w:color w:val="auto"/>
        </w:rPr>
      </w:pPr>
      <w:r>
        <w:rPr>
          <w:rFonts w:ascii="Times New Roman" w:cs="Times New Roman" w:eastAsia="Times New Roman" w:hAnsi="Times New Roman"/>
          <w:sz w:val="17"/>
          <w:szCs w:val="17"/>
          <w:color w:val="auto"/>
        </w:rPr>
        <w:t>For a discussion of recently issued accounting developments and their impact or potential impact on our condensed consolidated financial statements, see Note 2 "Summary of Significant Accounting Policies" of Part I Item 1 “Financial Statements”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w:t>
      </w:r>
    </w:p>
    <w:p>
      <w:pPr>
        <w:spacing w:after="0" w:line="252" w:lineRule="exact"/>
        <w:rPr>
          <w:sz w:val="20"/>
          <w:szCs w:val="20"/>
          <w:color w:val="auto"/>
        </w:rPr>
      </w:pPr>
    </w:p>
    <w:p>
      <w:pPr>
        <w:ind w:right="260" w:firstLine="629"/>
        <w:spacing w:after="0" w:line="296" w:lineRule="auto"/>
        <w:rPr>
          <w:sz w:val="20"/>
          <w:szCs w:val="20"/>
          <w:color w:val="auto"/>
        </w:rPr>
      </w:pPr>
      <w:r>
        <w:rPr>
          <w:rFonts w:ascii="Times New Roman" w:cs="Times New Roman" w:eastAsia="Times New Roman" w:hAnsi="Times New Roman"/>
          <w:sz w:val="17"/>
          <w:szCs w:val="17"/>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173"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spacing w:after="0" w:line="203"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Our customer market making activities involve the taking of position risks. The risks at any point in time are limited by the notional size of positions as well as other factors. The overall portfolio risks are quantified using internal risk models and monitored by the Company's Chief Risk Officer, the independent risk group and senior management.</w:t>
      </w:r>
    </w:p>
    <w:p>
      <w:pPr>
        <w:spacing w:after="0" w:line="190"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w:t>
      </w:r>
    </w:p>
    <w:p>
      <w:pPr>
        <w:spacing w:after="0" w:line="190" w:lineRule="exact"/>
        <w:rPr>
          <w:sz w:val="20"/>
          <w:szCs w:val="20"/>
          <w:color w:val="auto"/>
        </w:rPr>
      </w:pPr>
    </w:p>
    <w:p>
      <w:pPr>
        <w:ind w:right="80" w:firstLine="629"/>
        <w:spacing w:after="0" w:line="264" w:lineRule="auto"/>
        <w:rPr>
          <w:sz w:val="20"/>
          <w:szCs w:val="20"/>
          <w:color w:val="auto"/>
        </w:rPr>
      </w:pPr>
      <w:r>
        <w:rPr>
          <w:rFonts w:ascii="Times New Roman" w:cs="Times New Roman" w:eastAsia="Times New Roman" w:hAnsi="Times New Roman"/>
          <w:sz w:val="17"/>
          <w:szCs w:val="17"/>
          <w:color w:val="auto"/>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Condensed Consolidated Statements of Financial Condition. These financial instruments do not have maturity dates; the balances are short-term, which helps to mitigate our market risks. We also invest our working capital in short-term U.S. government securities, which are included in Financial instruments owned on the Condensed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200" w:lineRule="exact"/>
        <w:rPr>
          <w:sz w:val="20"/>
          <w:szCs w:val="20"/>
          <w:color w:val="auto"/>
        </w:rPr>
      </w:pPr>
    </w:p>
    <w:p>
      <w:pPr>
        <w:spacing w:after="0" w:line="213"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In the normal course of business, we maintain inventories of exchange-listed and other equity securities, and to a lesser extent, fixed income securities and listed equity options. The fair value of these financial instruments at March 31, 2022 and December 31, 2021 was $6.0 billion and $4.3 billion, respectively, in long positions and $5.1 billion and $3.5 billion, respectively, in short positions. We also enter into futures contracts, which are recorded on our Condensed Consolidated Statements of Financial Condition within Receivable from brokers, dealers and clearing organizations or Payable to brokers, dealers and clearing organizations as applicable.</w:t>
      </w:r>
    </w:p>
    <w:p>
      <w:pPr>
        <w:spacing w:after="0" w:line="196" w:lineRule="exact"/>
        <w:rPr>
          <w:sz w:val="20"/>
          <w:szCs w:val="20"/>
          <w:color w:val="auto"/>
        </w:rPr>
      </w:pPr>
    </w:p>
    <w:p>
      <w:pPr>
        <w:jc w:val="both"/>
        <w:ind w:right="40" w:firstLine="629"/>
        <w:spacing w:after="0" w:line="270" w:lineRule="auto"/>
        <w:rPr>
          <w:sz w:val="20"/>
          <w:szCs w:val="20"/>
          <w:color w:val="auto"/>
        </w:rPr>
      </w:pPr>
      <w:r>
        <w:rPr>
          <w:rFonts w:ascii="Times New Roman" w:cs="Times New Roman" w:eastAsia="Times New Roman" w:hAnsi="Times New Roman"/>
          <w:sz w:val="17"/>
          <w:szCs w:val="17"/>
          <w:color w:val="auto"/>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spacing w:after="0" w:line="194" w:lineRule="exact"/>
        <w:rPr>
          <w:sz w:val="20"/>
          <w:szCs w:val="20"/>
          <w:color w:val="auto"/>
        </w:rPr>
      </w:pPr>
    </w:p>
    <w:p>
      <w:pPr>
        <w:ind w:right="120" w:firstLine="629"/>
        <w:spacing w:after="0" w:line="267" w:lineRule="auto"/>
        <w:rPr>
          <w:sz w:val="20"/>
          <w:szCs w:val="20"/>
          <w:color w:val="auto"/>
        </w:rPr>
      </w:pPr>
      <w:r>
        <w:rPr>
          <w:rFonts w:ascii="Times New Roman" w:cs="Times New Roman" w:eastAsia="Times New Roman" w:hAnsi="Times New Roman"/>
          <w:sz w:val="17"/>
          <w:szCs w:val="17"/>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 Derivative Instruments</w:t>
      </w:r>
    </w:p>
    <w:p>
      <w:pPr>
        <w:spacing w:after="0" w:line="252"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In the normal course of business, we utilize derivative financial instruments in connection with our proprietary trading activities. We carry our trading derivative instruments at fair value with gains and losses included in Trading income, net, in the accompanying Condensed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196"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7"/>
          <w:szCs w:val="17"/>
          <w:color w:val="auto"/>
        </w:rPr>
        <w:t>We also use derivative instruments for risk management purposes, including cash flow hedges used to manage interest rate risk on long-term borrowings and net investment hedges used to manage foreign exchange risk. We have entered into floating-to-fixed interest rate swap agreements in order to manage interest rate risk associated with our long-term debt obligations. Additionally, we may seek to reduce the impact of fluctuations in foreign exchange rates on our net investment in certain non-U.S. operations through the use of foreign currency forward contracts. For interest rate swap agreements and foreign currency forward contracts designated as hedges, we assess our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Condensed Consolidated Statements of Financial Condition and Other comprehensive income on the Condensed Consolidated Statements of Comprehensive Income. The ineffective portion, if any, is recorded in Other, net on the Condensed Consolidated Statements of Comprehensive Income.</w:t>
      </w:r>
    </w:p>
    <w:p>
      <w:pPr>
        <w:spacing w:after="0" w:line="204" w:lineRule="exact"/>
        <w:rPr>
          <w:sz w:val="20"/>
          <w:szCs w:val="20"/>
          <w:color w:val="auto"/>
        </w:rPr>
      </w:pPr>
    </w:p>
    <w:p>
      <w:pPr>
        <w:ind w:right="100" w:firstLine="629"/>
        <w:spacing w:after="0" w:line="267" w:lineRule="auto"/>
        <w:rPr>
          <w:sz w:val="20"/>
          <w:szCs w:val="20"/>
          <w:color w:val="auto"/>
        </w:rPr>
      </w:pPr>
      <w:r>
        <w:rPr>
          <w:rFonts w:ascii="Times New Roman" w:cs="Times New Roman" w:eastAsia="Times New Roman" w:hAnsi="Times New Roman"/>
          <w:sz w:val="17"/>
          <w:szCs w:val="17"/>
          <w:i w:val="1"/>
          <w:iCs w:val="1"/>
          <w:color w:val="auto"/>
        </w:rPr>
        <w:t>Futures Contracts</w:t>
      </w:r>
      <w:r>
        <w:rPr>
          <w:rFonts w:ascii="Times New Roman" w:cs="Times New Roman" w:eastAsia="Times New Roman" w:hAnsi="Times New Roman"/>
          <w:sz w:val="17"/>
          <w:szCs w:val="17"/>
          <w:color w:val="auto"/>
        </w:rPr>
        <w:t>. As part of our proprietary market making trading strategies, we use futures contracts to gain exposure to changes in values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various 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96" w:lineRule="exact"/>
        <w:rPr>
          <w:sz w:val="20"/>
          <w:szCs w:val="20"/>
          <w:color w:val="auto"/>
        </w:rPr>
      </w:pPr>
    </w:p>
    <w:p>
      <w:pPr>
        <w:ind w:right="260" w:firstLine="629"/>
        <w:spacing w:after="0" w:line="299" w:lineRule="auto"/>
        <w:rPr>
          <w:sz w:val="20"/>
          <w:szCs w:val="20"/>
          <w:color w:val="auto"/>
        </w:rPr>
      </w:pPr>
      <w:r>
        <w:rPr>
          <w:rFonts w:ascii="Times New Roman" w:cs="Times New Roman" w:eastAsia="Times New Roman" w:hAnsi="Times New Roman"/>
          <w:sz w:val="17"/>
          <w:szCs w:val="17"/>
          <w:i w:val="1"/>
          <w:iCs w:val="1"/>
          <w:color w:val="auto"/>
        </w:rPr>
        <w:t>Due from Broker-Dealers and Clearing Organizations</w:t>
      </w:r>
      <w:r>
        <w:rPr>
          <w:rFonts w:ascii="Times New Roman" w:cs="Times New Roman" w:eastAsia="Times New Roman" w:hAnsi="Times New Roman"/>
          <w:sz w:val="17"/>
          <w:szCs w:val="17"/>
          <w:color w:val="auto"/>
        </w:rPr>
        <w:t>. Management periodically evaluates our counterparty credit exposures to various brokers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clearing organizations with a view to limiting potential losses resulting from counterparty insolvency.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Risk</w:t>
      </w:r>
    </w:p>
    <w:p>
      <w:pPr>
        <w:spacing w:after="0" w:line="252" w:lineRule="exact"/>
        <w:rPr>
          <w:sz w:val="20"/>
          <w:szCs w:val="20"/>
          <w:color w:val="auto"/>
        </w:rPr>
      </w:pPr>
    </w:p>
    <w:p>
      <w:pPr>
        <w:ind w:right="180" w:firstLine="629"/>
        <w:spacing w:after="0" w:line="267" w:lineRule="auto"/>
        <w:rPr>
          <w:sz w:val="20"/>
          <w:szCs w:val="20"/>
          <w:color w:val="auto"/>
        </w:rPr>
      </w:pPr>
      <w:r>
        <w:rPr>
          <w:rFonts w:ascii="Times New Roman" w:cs="Times New Roman" w:eastAsia="Times New Roman" w:hAnsi="Times New Roman"/>
          <w:sz w:val="17"/>
          <w:szCs w:val="17"/>
          <w:color w:val="auto"/>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196" w:lineRule="exact"/>
        <w:rPr>
          <w:sz w:val="20"/>
          <w:szCs w:val="20"/>
          <w:color w:val="auto"/>
        </w:rPr>
      </w:pPr>
    </w:p>
    <w:p>
      <w:pPr>
        <w:jc w:val="both"/>
        <w:ind w:right="180" w:firstLine="629"/>
        <w:spacing w:after="0" w:line="276" w:lineRule="auto"/>
        <w:rPr>
          <w:sz w:val="20"/>
          <w:szCs w:val="20"/>
          <w:color w:val="auto"/>
        </w:rPr>
      </w:pPr>
      <w:r>
        <w:rPr>
          <w:rFonts w:ascii="Times New Roman" w:cs="Times New Roman" w:eastAsia="Times New Roman" w:hAnsi="Times New Roman"/>
          <w:sz w:val="17"/>
          <w:szCs w:val="17"/>
          <w:color w:val="auto"/>
        </w:rPr>
        <w:t>Approximately 21.6% and 19.4% of our total revenues for the three months ended March 31, 2022 and 2021, respectively, were denominated in non-U.S. dollar currencies. We estimate that a hypothetical 10% adverse change in the value of the U.S. dollar relative to our foreign denominated earnings would have resulted in decreases in total revenues of $15.2 million and $19.7 million for the three months ended March 31, 2022 and 2021, respectively.</w:t>
      </w:r>
    </w:p>
    <w:p>
      <w:pPr>
        <w:spacing w:after="0" w:line="190"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Condensed Consolidated Statements of Comprehensive Income and Condensed Consolidated Statements of Changes in Equity. Our primary currency translation exposures historically relate to net investments in subsidiaries having functional currencies denominated in the Euro, Pound Sterling, and Canadian dollar.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Instruments with Off Balance Sheet Risk</w:t>
      </w:r>
    </w:p>
    <w:p>
      <w:pPr>
        <w:spacing w:after="0" w:line="252"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We enter into various transactions involving derivatives and other off-balance sheet financial instruments. These financial instruments include futures, forward contracts, swaps,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194"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Condensed Consolidated Statements of Financial Condition. Market risk is substantially dependent upon the value of the underlying financial instruments and is affected by market forces, such as volatility and changes in interest and foreign exchange rates.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52"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March 31, 2022. Based upon that evaluation, our Chief Executive Officer and Chief Financial Officer concluded that, as of March 31, 2022,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13" w:lineRule="exact"/>
        <w:rPr>
          <w:sz w:val="20"/>
          <w:szCs w:val="20"/>
          <w:color w:val="auto"/>
        </w:rPr>
      </w:pPr>
    </w:p>
    <w:p>
      <w:pPr>
        <w:ind w:right="60" w:firstLine="629"/>
        <w:spacing w:after="0" w:line="263"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203"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to Internal Control over Financial Reporting</w:t>
      </w:r>
    </w:p>
    <w:p>
      <w:pPr>
        <w:spacing w:after="0" w:line="252" w:lineRule="exact"/>
        <w:rPr>
          <w:sz w:val="20"/>
          <w:szCs w:val="20"/>
          <w:color w:val="auto"/>
        </w:rPr>
      </w:pPr>
    </w:p>
    <w:p>
      <w:pPr>
        <w:ind w:right="340" w:firstLine="629"/>
        <w:spacing w:after="0" w:line="296"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(as defined in Rule 13a-15(f) under the Exchange Act) occurred during the three months ended March 31, 2022 that has or is reasonably likely to materially affect, our internal control over financial reporting.</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52" w:lineRule="exact"/>
        <w:rPr>
          <w:sz w:val="20"/>
          <w:szCs w:val="20"/>
          <w:color w:val="auto"/>
        </w:rPr>
      </w:pPr>
    </w:p>
    <w:p>
      <w:pPr>
        <w:ind w:right="120" w:firstLine="629"/>
        <w:spacing w:after="0" w:line="296" w:lineRule="auto"/>
        <w:rPr>
          <w:sz w:val="20"/>
          <w:szCs w:val="20"/>
          <w:color w:val="auto"/>
        </w:rPr>
      </w:pPr>
      <w:r>
        <w:rPr>
          <w:rFonts w:ascii="Times New Roman" w:cs="Times New Roman" w:eastAsia="Times New Roman" w:hAnsi="Times New Roman"/>
          <w:sz w:val="17"/>
          <w:szCs w:val="17"/>
          <w:color w:val="auto"/>
        </w:rPr>
        <w:t>The information required by this item is set forth in the “Legal Proceedings” section in Note 14 "Commitments, Contingencies and Guarantees" to the Company’s condensed consolidated financial statements included in Part I Item 1 “Financial Statements”, which is incorporated by reference herein.</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There have been no material changes to the Risk Factors described in Part I Item 1A. “Risk Factors” in our 2021 Form 10-K.</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52"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Total share repurchases for the three months ended March 31, 2022 were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Period</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January 1, 2022 - January 31, 2022</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Class A Common Stock / Virtu Financial Units repurchases</w:t>
      </w: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February 1, 2022 - February 28,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Average Price Paid</w:t>
            </w:r>
          </w:p>
        </w:tc>
      </w:tr>
      <w:tr>
        <w:trPr>
          <w:trHeight w:val="190"/>
        </w:trPr>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Shares Purchased (1)</w:t>
            </w:r>
          </w:p>
        </w:tc>
        <w:tc>
          <w:tcPr>
            <w:tcW w:w="220" w:type="dxa"/>
            <w:vAlign w:val="bottom"/>
          </w:tcPr>
          <w:p>
            <w:pPr>
              <w:spacing w:after="0"/>
              <w:rPr>
                <w:sz w:val="16"/>
                <w:szCs w:val="16"/>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8"/>
              </w:rPr>
              <w:t>per Share</w:t>
            </w:r>
          </w:p>
        </w:tc>
      </w:tr>
      <w:tr>
        <w:trPr>
          <w:trHeight w:val="368"/>
        </w:trPr>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1,763,130</w:t>
            </w:r>
          </w:p>
        </w:tc>
        <w:tc>
          <w:tcPr>
            <w:tcW w:w="140" w:type="dxa"/>
            <w:vAlign w:val="bottom"/>
          </w:tcPr>
          <w:p>
            <w:pPr>
              <w:spacing w:after="0"/>
              <w:rPr>
                <w:sz w:val="24"/>
                <w:szCs w:val="24"/>
                <w:color w:val="auto"/>
              </w:rPr>
            </w:pPr>
          </w:p>
        </w:tc>
        <w:tc>
          <w:tcPr>
            <w:tcW w:w="2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14605</wp:posOffset>
            </wp:positionV>
            <wp:extent cx="7111365" cy="166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1365" cy="16637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-242570</wp:posOffset>
            </wp:positionV>
            <wp:extent cx="7111365" cy="133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11365"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2"/>
        </w:trPr>
        <w:tc>
          <w:tcPr>
            <w:tcW w:w="1560" w:type="dxa"/>
            <w:vAlign w:val="bottom"/>
            <w:gridSpan w:val="2"/>
            <w:vMerge w:val="continue"/>
          </w:tcPr>
          <w:p>
            <w:pPr>
              <w:spacing w:after="0"/>
              <w:rPr>
                <w:sz w:val="12"/>
                <w:szCs w:val="12"/>
                <w:color w:val="auto"/>
              </w:rPr>
            </w:pPr>
          </w:p>
        </w:tc>
        <w:tc>
          <w:tcPr>
            <w:tcW w:w="14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Value of Shares that</w:t>
            </w:r>
          </w:p>
        </w:tc>
        <w:tc>
          <w:tcPr>
            <w:tcW w:w="0" w:type="dxa"/>
            <w:vAlign w:val="bottom"/>
          </w:tcPr>
          <w:p>
            <w:pPr>
              <w:spacing w:after="0"/>
              <w:rPr>
                <w:sz w:val="1"/>
                <w:szCs w:val="1"/>
                <w:color w:val="auto"/>
              </w:rPr>
            </w:pPr>
          </w:p>
        </w:tc>
      </w:tr>
      <w:tr>
        <w:trPr>
          <w:trHeight w:val="131"/>
        </w:trPr>
        <w:tc>
          <w:tcPr>
            <w:tcW w:w="15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9"/>
              </w:rPr>
              <w:t>Purchased as Part of</w:t>
            </w:r>
          </w:p>
        </w:tc>
        <w:tc>
          <w:tcPr>
            <w:tcW w:w="14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May Yet Be Purchased</w:t>
            </w:r>
          </w:p>
        </w:tc>
        <w:tc>
          <w:tcPr>
            <w:tcW w:w="0" w:type="dxa"/>
            <w:vAlign w:val="bottom"/>
          </w:tcPr>
          <w:p>
            <w:pPr>
              <w:spacing w:after="0"/>
              <w:rPr>
                <w:sz w:val="1"/>
                <w:szCs w:val="1"/>
                <w:color w:val="auto"/>
              </w:rPr>
            </w:pPr>
          </w:p>
        </w:tc>
      </w:tr>
      <w:tr>
        <w:trPr>
          <w:trHeight w:val="144"/>
        </w:trPr>
        <w:tc>
          <w:tcPr>
            <w:tcW w:w="156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Publicly Announced</w:t>
            </w:r>
          </w:p>
        </w:tc>
        <w:tc>
          <w:tcPr>
            <w:tcW w:w="14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1"/>
        </w:trPr>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Plans or Programs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Programs</w:t>
            </w:r>
          </w:p>
        </w:tc>
        <w:tc>
          <w:tcPr>
            <w:tcW w:w="0" w:type="dxa"/>
            <w:vAlign w:val="bottom"/>
          </w:tcPr>
          <w:p>
            <w:pPr>
              <w:spacing w:after="0"/>
              <w:rPr>
                <w:sz w:val="1"/>
                <w:szCs w:val="1"/>
                <w:color w:val="auto"/>
              </w:rPr>
            </w:pPr>
          </w:p>
        </w:tc>
      </w:tr>
      <w:tr>
        <w:trPr>
          <w:trHeight w:val="368"/>
        </w:trPr>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1,491,584</w:t>
            </w:r>
          </w:p>
        </w:tc>
        <w:tc>
          <w:tcPr>
            <w:tcW w:w="100" w:type="dxa"/>
            <w:vAlign w:val="bottom"/>
          </w:tcPr>
          <w:p>
            <w:pPr>
              <w:spacing w:after="0"/>
              <w:rPr>
                <w:sz w:val="24"/>
                <w:szCs w:val="24"/>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$737,219,447</w:t>
            </w:r>
          </w:p>
        </w:tc>
        <w:tc>
          <w:tcPr>
            <w:tcW w:w="0" w:type="dxa"/>
            <w:vAlign w:val="bottom"/>
          </w:tcPr>
          <w:p>
            <w:pPr>
              <w:spacing w:after="0"/>
              <w:rPr>
                <w:sz w:val="1"/>
                <w:szCs w:val="1"/>
                <w:color w:val="auto"/>
              </w:rPr>
            </w:pPr>
          </w:p>
        </w:tc>
      </w:tr>
    </w:tbl>
    <w:p>
      <w:pPr>
        <w:spacing w:after="0" w:line="472" w:lineRule="exact"/>
        <w:rPr>
          <w:sz w:val="20"/>
          <w:szCs w:val="20"/>
          <w:color w:val="auto"/>
        </w:rPr>
      </w:pPr>
    </w:p>
    <w:p>
      <w:pPr>
        <w:sectPr>
          <w:pgSz w:w="11900" w:h="16838" w:orient="portrait"/>
          <w:cols w:equalWidth="0" w:num="3">
            <w:col w:w="4560" w:space="720"/>
            <w:col w:w="2800" w:space="120"/>
            <w:col w:w="3040"/>
          </w:cols>
          <w:pgMar w:left="320" w:top="121" w:right="339" w:bottom="1440" w:gutter="0" w:footer="0" w:header="0"/>
          <w:type w:val="continuous"/>
        </w:sectPr>
      </w:pPr>
    </w:p>
    <w:p>
      <w:pPr>
        <w:ind w:left="240" w:right="1000"/>
        <w:spacing w:after="0" w:line="368" w:lineRule="auto"/>
        <w:rPr>
          <w:sz w:val="20"/>
          <w:szCs w:val="20"/>
          <w:color w:val="auto"/>
        </w:rPr>
      </w:pPr>
      <w:r>
        <w:rPr>
          <w:rFonts w:ascii="Times New Roman" w:cs="Times New Roman" w:eastAsia="Times New Roman" w:hAnsi="Times New Roman"/>
          <w:sz w:val="13"/>
          <w:szCs w:val="13"/>
          <w:color w:val="auto"/>
        </w:rPr>
        <w:t>Class A Common Stock / Virtu Financial Units repurchases Class C Common Stock/ Virtu Financial Units repurchases</w:t>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March 1, 2022 - March 31, 2022</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Class A Common Stock / Virtu Financial Units repurchases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Total Common Stock / Virtu Financial Unit repurchases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4,716,705</w:t>
            </w:r>
          </w:p>
        </w:tc>
        <w:tc>
          <w:tcPr>
            <w:tcW w:w="140" w:type="dxa"/>
            <w:vAlign w:val="bottom"/>
          </w:tcPr>
          <w:p>
            <w:pPr>
              <w:spacing w:after="0"/>
              <w:rPr>
                <w:sz w:val="15"/>
                <w:szCs w:val="15"/>
                <w:color w:val="auto"/>
              </w:rPr>
            </w:pPr>
          </w:p>
        </w:tc>
        <w:tc>
          <w:tcPr>
            <w:tcW w:w="50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31.19</w:t>
            </w:r>
          </w:p>
        </w:tc>
        <w:tc>
          <w:tcPr>
            <w:tcW w:w="1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438,603</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600,320,210</w:t>
            </w:r>
          </w:p>
        </w:tc>
      </w:tr>
      <w:tr>
        <w:trPr>
          <w:trHeight w:val="196"/>
        </w:trPr>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234,269</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35.69</w:t>
            </w:r>
          </w:p>
        </w:tc>
        <w:tc>
          <w:tcPr>
            <w:tcW w:w="120" w:type="dxa"/>
            <w:vAlign w:val="bottom"/>
          </w:tcPr>
          <w:p>
            <w:pPr>
              <w:spacing w:after="0"/>
              <w:rPr>
                <w:sz w:val="17"/>
                <w:szCs w:val="17"/>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tcPr>
          <w:p>
            <w:pPr>
              <w:spacing w:after="0"/>
              <w:rPr>
                <w:sz w:val="17"/>
                <w:szCs w:val="17"/>
                <w:color w:val="auto"/>
              </w:rPr>
            </w:pPr>
          </w:p>
        </w:tc>
      </w:tr>
      <w:tr>
        <w:trPr>
          <w:trHeight w:val="655"/>
        </w:trPr>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3,041,553</w:t>
            </w:r>
          </w:p>
        </w:tc>
        <w:tc>
          <w:tcPr>
            <w:tcW w:w="140" w:type="dxa"/>
            <w:vAlign w:val="bottom"/>
          </w:tcPr>
          <w:p>
            <w:pPr>
              <w:spacing w:after="0"/>
              <w:rPr>
                <w:sz w:val="24"/>
                <w:szCs w:val="24"/>
                <w:color w:val="auto"/>
              </w:rPr>
            </w:pPr>
          </w:p>
        </w:tc>
        <w:tc>
          <w:tcPr>
            <w:tcW w:w="50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35.16</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3,030,927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493,720</w:t>
            </w:r>
          </w:p>
        </w:tc>
      </w:tr>
      <w:tr>
        <w:trPr>
          <w:trHeight w:val="23"/>
        </w:trPr>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3"/>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9,755,657</w:t>
            </w:r>
          </w:p>
        </w:tc>
        <w:tc>
          <w:tcPr>
            <w:tcW w:w="140" w:type="dxa"/>
            <w:vAlign w:val="bottom"/>
          </w:tcPr>
          <w:p>
            <w:pPr>
              <w:spacing w:after="0"/>
              <w:rPr>
                <w:sz w:val="15"/>
                <w:szCs w:val="15"/>
                <w:color w:val="auto"/>
              </w:rPr>
            </w:pPr>
          </w:p>
        </w:tc>
        <w:tc>
          <w:tcPr>
            <w:tcW w:w="5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32.18</w:t>
            </w: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4,961,114</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$493,720</w:t>
            </w:r>
          </w:p>
        </w:tc>
      </w:tr>
      <w:tr>
        <w:trPr>
          <w:trHeight w:val="26"/>
        </w:trPr>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-831215</wp:posOffset>
            </wp:positionV>
            <wp:extent cx="7111365" cy="1244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1365" cy="12446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-581660</wp:posOffset>
            </wp:positionV>
            <wp:extent cx="7111365" cy="166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11365" cy="16637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-290195</wp:posOffset>
            </wp:positionV>
            <wp:extent cx="7111365" cy="1244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1365" cy="124460"/>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4560" w:space="720"/>
            <w:col w:w="5960"/>
          </w:cols>
          <w:pgMar w:left="320" w:top="121" w:right="339" w:bottom="1440" w:gutter="0" w:footer="0" w:header="0"/>
          <w:type w:val="continuous"/>
        </w:sectPr>
      </w:pPr>
    </w:p>
    <w:p>
      <w:pPr>
        <w:ind w:right="100" w:firstLine="5"/>
        <w:spacing w:after="0" w:line="266" w:lineRule="auto"/>
        <w:tabs>
          <w:tab w:leader="none" w:pos="198"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repurchase of 612,844 shares from employees in order to satisfy statutory tax withholding requirements upon the net settlement of equity awards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On November 6, 2020, the Company's Board of Directors authorized a new share repurchase program of up to $100.0 million in Class A common stock and Virtu Financial Units by December 31, 2021. On February 11, 2021, the Company's Board of Directors authorized the expansion of the program by an additional $70 million in Class A Common Stock and Virtu Financial Units. On May 4, 2021, the Company's Board of Directors authorized the expansion of the Company's share repurchase program, increasing the total authorized amount by $300 million to $470 million in Class A Common Stock and Virtu Financial Units and extending the duration of the program through May 4, 2022. Additionally, on November 3, 2021 the Company's Board of Directors authorized the expansion of the program by an additional $750 million to $1,220 million and extending the duration of the program through November 3, 2023.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March 31, 2022, the Company repurchased approximately 25.1 million shares of Class A Common Stock and Virtu Financial Units for approximately $726.3 million. As of March 31, 2022, the Company has approximately $493.7 million remaining capacity for future purchases of shares of Class A Common Stock and Virtu Financial Units under the program.</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880" w:type="dxa"/>
            <w:vAlign w:val="bottom"/>
            <w:gridSpan w:val="8"/>
          </w:tcPr>
          <w:p>
            <w:pPr>
              <w:ind w:left="2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1440" w:type="dxa"/>
            <w:vAlign w:val="bottom"/>
            <w:tcBorders>
              <w:bottom w:val="single" w:sz="8" w:color="auto"/>
            </w:tcBorders>
          </w:tcPr>
          <w:p>
            <w:pPr>
              <w:spacing w:after="0"/>
              <w:rPr>
                <w:sz w:val="2"/>
                <w:szCs w:val="2"/>
                <w:color w:val="auto"/>
              </w:rPr>
            </w:pPr>
          </w:p>
        </w:tc>
        <w:tc>
          <w:tcPr>
            <w:tcW w:w="540" w:type="dxa"/>
            <w:vAlign w:val="bottom"/>
            <w:tcBorders>
              <w:bottom w:val="single" w:sz="8" w:color="FEFEFE"/>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44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10.1*†</w:t>
            </w:r>
          </w:p>
        </w:tc>
        <w:tc>
          <w:tcPr>
            <w:tcW w:w="540" w:type="dxa"/>
            <w:vAlign w:val="bottom"/>
            <w:tcBorders>
              <w:right w:val="single" w:sz="8" w:color="FEFEFE"/>
            </w:tcBorders>
            <w:shd w:val="clear" w:color="auto" w:fill="FEFEFE"/>
          </w:tcPr>
          <w:p>
            <w:pPr>
              <w:spacing w:after="0"/>
              <w:rPr>
                <w:sz w:val="15"/>
                <w:szCs w:val="15"/>
                <w:color w:val="auto"/>
              </w:rPr>
            </w:pPr>
          </w:p>
        </w:tc>
        <w:tc>
          <w:tcPr>
            <w:tcW w:w="9240" w:type="dxa"/>
            <w:vAlign w:val="bottom"/>
            <w:gridSpan w:val="9"/>
            <w:shd w:val="clear" w:color="auto" w:fill="FEFEFE"/>
          </w:tcPr>
          <w:p>
            <w:pPr>
              <w:spacing w:after="0" w:line="176" w:lineRule="exact"/>
              <w:rPr>
                <w:sz w:val="20"/>
                <w:szCs w:val="20"/>
                <w:color w:val="auto"/>
              </w:rPr>
            </w:pPr>
            <w:r>
              <w:rPr>
                <w:rFonts w:ascii="Times New Roman" w:cs="Times New Roman" w:eastAsia="Times New Roman" w:hAnsi="Times New Roman"/>
                <w:sz w:val="17"/>
                <w:szCs w:val="17"/>
                <w:color w:val="0000FF"/>
              </w:rPr>
              <w:t>Virtu Financial, Inc. Amended and Restated 2015 Management Incentive Plan Employee Restricted Stock Unit Award Agreement,</w:t>
            </w:r>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Borders>
              <w:top w:val="single" w:sz="8" w:color="FEFEFE"/>
              <w:bottom w:val="single" w:sz="8" w:color="FEFEFE"/>
              <w:right w:val="single" w:sz="8" w:color="FEFEFE"/>
            </w:tcBorders>
            <w:shd w:val="clear" w:color="auto" w:fill="FEFEFE"/>
          </w:tcPr>
          <w:p>
            <w:pPr>
              <w:spacing w:after="0"/>
              <w:rPr>
                <w:sz w:val="13"/>
                <w:szCs w:val="13"/>
                <w:color w:val="auto"/>
              </w:rPr>
            </w:pPr>
          </w:p>
        </w:tc>
        <w:tc>
          <w:tcPr>
            <w:tcW w:w="6000" w:type="dxa"/>
            <w:vAlign w:val="bottom"/>
            <w:tcBorders>
              <w:top w:val="single" w:sz="8" w:color="0000FF"/>
              <w:bottom w:val="single" w:sz="8" w:color="0000FF"/>
            </w:tcBorders>
            <w:gridSpan w:val="3"/>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dated as of March 1, 2022, by and between Virtu Financial, Inc. and Douglas A. Cifu.</w:t>
            </w:r>
          </w:p>
        </w:tc>
        <w:tc>
          <w:tcPr>
            <w:tcW w:w="3140" w:type="dxa"/>
            <w:vAlign w:val="bottom"/>
            <w:tcBorders>
              <w:top w:val="single" w:sz="8" w:color="0000FF"/>
              <w:bottom w:val="single" w:sz="8" w:color="FEFEFE"/>
            </w:tcBorders>
            <w:gridSpan w:val="5"/>
            <w:shd w:val="clear" w:color="auto" w:fill="FEFEFE"/>
          </w:tcPr>
          <w:p>
            <w:pPr>
              <w:spacing w:after="0"/>
              <w:rPr>
                <w:sz w:val="13"/>
                <w:szCs w:val="13"/>
                <w:color w:val="auto"/>
              </w:rPr>
            </w:pPr>
          </w:p>
        </w:tc>
        <w:tc>
          <w:tcPr>
            <w:tcW w:w="100" w:type="dxa"/>
            <w:vAlign w:val="bottom"/>
            <w:tcBorders>
              <w:top w:val="single" w:sz="8" w:color="FEFEFE"/>
              <w:bottom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1440" w:type="dxa"/>
            <w:vAlign w:val="bottom"/>
          </w:tcPr>
          <w:p>
            <w:pPr>
              <w:spacing w:after="0"/>
              <w:rPr>
                <w:sz w:val="2"/>
                <w:szCs w:val="2"/>
                <w:color w:val="auto"/>
              </w:rPr>
            </w:pPr>
          </w:p>
        </w:tc>
        <w:tc>
          <w:tcPr>
            <w:tcW w:w="540" w:type="dxa"/>
            <w:vAlign w:val="bottom"/>
            <w:tcBorders>
              <w:right w:val="single" w:sz="8" w:color="FEFEFE"/>
            </w:tcBorders>
            <w:shd w:val="clear" w:color="auto" w:fill="FEFEFE"/>
          </w:tcPr>
          <w:p>
            <w:pPr>
              <w:spacing w:after="0"/>
              <w:rPr>
                <w:sz w:val="2"/>
                <w:szCs w:val="2"/>
                <w:color w:val="auto"/>
              </w:rPr>
            </w:pPr>
          </w:p>
        </w:tc>
        <w:tc>
          <w:tcPr>
            <w:tcW w:w="9240" w:type="dxa"/>
            <w:vAlign w:val="bottom"/>
            <w:gridSpan w:val="9"/>
            <w:vMerge w:val="restart"/>
            <w:shd w:val="clear" w:color="auto" w:fill="FEFEFE"/>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required by Rule 13a-14(a)/15d-14(a) under the Securities Exchange Act of 1934, as</w:t>
            </w:r>
          </w:p>
        </w:tc>
        <w:tc>
          <w:tcPr>
            <w:tcW w:w="0" w:type="dxa"/>
            <w:vAlign w:val="bottom"/>
          </w:tcPr>
          <w:p>
            <w:pPr>
              <w:spacing w:after="0" w:line="20" w:lineRule="exact"/>
              <w:rPr>
                <w:sz w:val="1"/>
                <w:szCs w:val="1"/>
                <w:color w:val="auto"/>
              </w:rPr>
            </w:pPr>
          </w:p>
        </w:tc>
      </w:tr>
      <w:tr>
        <w:trPr>
          <w:trHeight w:val="183"/>
        </w:trPr>
        <w:tc>
          <w:tcPr>
            <w:tcW w:w="1440" w:type="dxa"/>
            <w:vAlign w:val="bottom"/>
            <w:shd w:val="clear" w:color="auto" w:fill="FEFEFE"/>
          </w:tcPr>
          <w:p>
            <w:pPr>
              <w:ind w:left="20"/>
              <w:spacing w:after="0" w:line="184" w:lineRule="exact"/>
              <w:rPr>
                <w:sz w:val="20"/>
                <w:szCs w:val="20"/>
                <w:color w:val="auto"/>
              </w:rPr>
            </w:pPr>
            <w:r>
              <w:rPr>
                <w:rFonts w:ascii="Times New Roman" w:cs="Times New Roman" w:eastAsia="Times New Roman" w:hAnsi="Times New Roman"/>
                <w:sz w:val="17"/>
                <w:szCs w:val="17"/>
                <w:color w:val="auto"/>
              </w:rPr>
              <w:t>31.1*</w:t>
            </w:r>
          </w:p>
        </w:tc>
        <w:tc>
          <w:tcPr>
            <w:tcW w:w="540" w:type="dxa"/>
            <w:vAlign w:val="bottom"/>
            <w:tcBorders>
              <w:right w:val="single" w:sz="8" w:color="FEFEFE"/>
            </w:tcBorders>
            <w:shd w:val="clear" w:color="auto" w:fill="FEFEFE"/>
          </w:tcPr>
          <w:p>
            <w:pPr>
              <w:spacing w:after="0"/>
              <w:rPr>
                <w:sz w:val="15"/>
                <w:szCs w:val="15"/>
                <w:color w:val="auto"/>
              </w:rPr>
            </w:pPr>
          </w:p>
        </w:tc>
        <w:tc>
          <w:tcPr>
            <w:tcW w:w="9240" w:type="dxa"/>
            <w:vAlign w:val="bottom"/>
            <w:gridSpan w:val="9"/>
            <w:vMerge w:val="continue"/>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8740" w:type="dxa"/>
            <w:vAlign w:val="bottom"/>
            <w:tcBorders>
              <w:top w:val="single" w:sz="8" w:color="0000FF"/>
            </w:tcBorders>
            <w:gridSpan w:val="5"/>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amended, as adopted pursuant to Section 302 of the Sarbanes-Oxley Act of 2002.</w:t>
            </w:r>
          </w:p>
        </w:tc>
        <w:tc>
          <w:tcPr>
            <w:tcW w:w="220" w:type="dxa"/>
            <w:vAlign w:val="bottom"/>
            <w:tcBorders>
              <w:top w:val="single" w:sz="8" w:color="FEFEFE"/>
            </w:tcBorders>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20" w:type="dxa"/>
            <w:vAlign w:val="bottom"/>
            <w:tcBorders>
              <w:top w:val="single" w:sz="8" w:color="FEFEFE"/>
            </w:tcBorders>
            <w:gridSpan w:val="2"/>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3020" w:type="dxa"/>
            <w:vAlign w:val="bottom"/>
            <w:gridSpan w:val="2"/>
            <w:shd w:val="clear" w:color="auto" w:fill="FEFEFE"/>
          </w:tcPr>
          <w:p>
            <w:pPr>
              <w:spacing w:after="0" w:line="20" w:lineRule="exact"/>
              <w:rPr>
                <w:sz w:val="1"/>
                <w:szCs w:val="1"/>
                <w:color w:val="auto"/>
              </w:rPr>
            </w:pPr>
          </w:p>
        </w:tc>
        <w:tc>
          <w:tcPr>
            <w:tcW w:w="260" w:type="dxa"/>
            <w:vAlign w:val="bottom"/>
            <w:gridSpan w:val="2"/>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20" w:type="dxa"/>
            <w:vAlign w:val="bottom"/>
            <w:gridSpan w:val="2"/>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540" w:type="dxa"/>
            <w:vAlign w:val="bottom"/>
            <w:tcBorders>
              <w:right w:val="single" w:sz="8" w:color="FEFEFE"/>
            </w:tcBorders>
            <w:shd w:val="clear" w:color="auto" w:fill="FEFEFE"/>
          </w:tcPr>
          <w:p>
            <w:pPr>
              <w:spacing w:after="0"/>
              <w:rPr>
                <w:sz w:val="18"/>
                <w:szCs w:val="18"/>
                <w:color w:val="auto"/>
              </w:rPr>
            </w:pPr>
          </w:p>
        </w:tc>
        <w:tc>
          <w:tcPr>
            <w:tcW w:w="9240" w:type="dxa"/>
            <w:vAlign w:val="bottom"/>
            <w:gridSpan w:val="9"/>
            <w:shd w:val="clear" w:color="auto" w:fill="FEFEFE"/>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required by Rule 13a-14(a)/15d-14(a) under the Securities Exchange Act of 1934, as</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8700" w:type="dxa"/>
            <w:vAlign w:val="bottom"/>
            <w:tcBorders>
              <w:top w:val="single" w:sz="8" w:color="0000FF"/>
            </w:tcBorders>
            <w:gridSpan w:val="4"/>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amended, as adopted pursuant to Section 302 of the Sarbanes-Oxley Act of 2002.</w:t>
            </w:r>
          </w:p>
        </w:tc>
        <w:tc>
          <w:tcPr>
            <w:tcW w:w="260" w:type="dxa"/>
            <w:vAlign w:val="bottom"/>
            <w:tcBorders>
              <w:top w:val="single" w:sz="8" w:color="FEFEFE"/>
            </w:tcBorders>
            <w:gridSpan w:val="2"/>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20" w:type="dxa"/>
            <w:vAlign w:val="bottom"/>
            <w:tcBorders>
              <w:top w:val="single" w:sz="8" w:color="FEFEFE"/>
            </w:tcBorders>
            <w:gridSpan w:val="2"/>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3280" w:type="dxa"/>
            <w:vAlign w:val="bottom"/>
            <w:gridSpan w:val="4"/>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20" w:type="dxa"/>
            <w:vAlign w:val="bottom"/>
            <w:gridSpan w:val="2"/>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540" w:type="dxa"/>
            <w:vAlign w:val="bottom"/>
            <w:tcBorders>
              <w:right w:val="single" w:sz="8" w:color="FEFEFE"/>
            </w:tcBorders>
            <w:shd w:val="clear" w:color="auto" w:fill="FEFEFE"/>
          </w:tcPr>
          <w:p>
            <w:pPr>
              <w:spacing w:after="0"/>
              <w:rPr>
                <w:sz w:val="18"/>
                <w:szCs w:val="18"/>
                <w:color w:val="auto"/>
              </w:rPr>
            </w:pPr>
          </w:p>
        </w:tc>
        <w:tc>
          <w:tcPr>
            <w:tcW w:w="9240" w:type="dxa"/>
            <w:vAlign w:val="bottom"/>
            <w:gridSpan w:val="9"/>
            <w:shd w:val="clear" w:color="auto" w:fill="FEFEFE"/>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bottom w:val="single" w:sz="8" w:color="FEFEFE"/>
            </w:tcBorders>
            <w:shd w:val="clear" w:color="auto" w:fill="FEFEFE"/>
          </w:tcPr>
          <w:p>
            <w:pPr>
              <w:spacing w:after="0"/>
              <w:rPr>
                <w:sz w:val="13"/>
                <w:szCs w:val="13"/>
                <w:color w:val="auto"/>
              </w:rPr>
            </w:pPr>
          </w:p>
        </w:tc>
        <w:tc>
          <w:tcPr>
            <w:tcW w:w="540" w:type="dxa"/>
            <w:vAlign w:val="bottom"/>
            <w:tcBorders>
              <w:top w:val="single" w:sz="8" w:color="FEFEFE"/>
              <w:bottom w:val="single" w:sz="8" w:color="FEFEFE"/>
              <w:right w:val="single" w:sz="8" w:color="FEFEFE"/>
            </w:tcBorders>
            <w:shd w:val="clear" w:color="auto" w:fill="FEFEFE"/>
          </w:tcPr>
          <w:p>
            <w:pPr>
              <w:spacing w:after="0"/>
              <w:rPr>
                <w:sz w:val="13"/>
                <w:szCs w:val="13"/>
                <w:color w:val="auto"/>
              </w:rPr>
            </w:pPr>
          </w:p>
        </w:tc>
        <w:tc>
          <w:tcPr>
            <w:tcW w:w="1360" w:type="dxa"/>
            <w:vAlign w:val="bottom"/>
            <w:tcBorders>
              <w:top w:val="single" w:sz="8" w:color="0000FF"/>
              <w:bottom w:val="single" w:sz="8" w:color="0000FF"/>
            </w:tcBorders>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Oxley Act of 2002.</w:t>
            </w:r>
          </w:p>
        </w:tc>
        <w:tc>
          <w:tcPr>
            <w:tcW w:w="7660" w:type="dxa"/>
            <w:vAlign w:val="bottom"/>
            <w:tcBorders>
              <w:top w:val="single" w:sz="8" w:color="0000FF"/>
              <w:bottom w:val="single" w:sz="8" w:color="FEFEFE"/>
            </w:tcBorders>
            <w:gridSpan w:val="6"/>
            <w:shd w:val="clear" w:color="auto" w:fill="FEFEFE"/>
          </w:tcPr>
          <w:p>
            <w:pPr>
              <w:spacing w:after="0"/>
              <w:rPr>
                <w:sz w:val="13"/>
                <w:szCs w:val="13"/>
                <w:color w:val="auto"/>
              </w:rPr>
            </w:pPr>
          </w:p>
        </w:tc>
        <w:tc>
          <w:tcPr>
            <w:tcW w:w="220" w:type="dxa"/>
            <w:vAlign w:val="bottom"/>
            <w:tcBorders>
              <w:top w:val="single" w:sz="8" w:color="FEFEFE"/>
              <w:bottom w:val="single" w:sz="8" w:color="FEFEFE"/>
            </w:tcBorders>
            <w:gridSpan w:val="2"/>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32.2*</w:t>
            </w:r>
          </w:p>
        </w:tc>
        <w:tc>
          <w:tcPr>
            <w:tcW w:w="540" w:type="dxa"/>
            <w:vAlign w:val="bottom"/>
            <w:tcBorders>
              <w:right w:val="single" w:sz="8" w:color="FEFEFE"/>
            </w:tcBorders>
            <w:shd w:val="clear" w:color="auto" w:fill="FEFEFE"/>
          </w:tcPr>
          <w:p>
            <w:pPr>
              <w:spacing w:after="0"/>
              <w:rPr>
                <w:sz w:val="18"/>
                <w:szCs w:val="18"/>
                <w:color w:val="auto"/>
              </w:rPr>
            </w:pPr>
          </w:p>
        </w:tc>
        <w:tc>
          <w:tcPr>
            <w:tcW w:w="9240" w:type="dxa"/>
            <w:vAlign w:val="bottom"/>
            <w:gridSpan w:val="9"/>
            <w:shd w:val="clear" w:color="auto" w:fill="FEFEFE"/>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bottom w:val="single" w:sz="8" w:color="FEFEFE"/>
            </w:tcBorders>
            <w:shd w:val="clear" w:color="auto" w:fill="FEFEFE"/>
          </w:tcPr>
          <w:p>
            <w:pPr>
              <w:spacing w:after="0"/>
              <w:rPr>
                <w:sz w:val="13"/>
                <w:szCs w:val="13"/>
                <w:color w:val="auto"/>
              </w:rPr>
            </w:pPr>
          </w:p>
        </w:tc>
        <w:tc>
          <w:tcPr>
            <w:tcW w:w="540" w:type="dxa"/>
            <w:vAlign w:val="bottom"/>
            <w:tcBorders>
              <w:top w:val="single" w:sz="8" w:color="FEFEFE"/>
              <w:bottom w:val="single" w:sz="8" w:color="FEFEFE"/>
              <w:right w:val="single" w:sz="8" w:color="FEFEFE"/>
            </w:tcBorders>
            <w:shd w:val="clear" w:color="auto" w:fill="FEFEFE"/>
          </w:tcPr>
          <w:p>
            <w:pPr>
              <w:spacing w:after="0"/>
              <w:rPr>
                <w:sz w:val="13"/>
                <w:szCs w:val="13"/>
                <w:color w:val="auto"/>
              </w:rPr>
            </w:pPr>
          </w:p>
        </w:tc>
        <w:tc>
          <w:tcPr>
            <w:tcW w:w="1360" w:type="dxa"/>
            <w:vAlign w:val="bottom"/>
            <w:tcBorders>
              <w:top w:val="single" w:sz="8" w:color="0000FF"/>
              <w:bottom w:val="single" w:sz="8" w:color="0000FF"/>
            </w:tcBorders>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Oxley Act of 2002.</w:t>
            </w:r>
          </w:p>
        </w:tc>
        <w:tc>
          <w:tcPr>
            <w:tcW w:w="7600" w:type="dxa"/>
            <w:vAlign w:val="bottom"/>
            <w:tcBorders>
              <w:top w:val="single" w:sz="8" w:color="0000FF"/>
              <w:bottom w:val="single" w:sz="8" w:color="FEFEFE"/>
            </w:tcBorders>
            <w:gridSpan w:val="5"/>
            <w:shd w:val="clear" w:color="auto" w:fill="FEFEFE"/>
          </w:tcPr>
          <w:p>
            <w:pPr>
              <w:spacing w:after="0"/>
              <w:rPr>
                <w:sz w:val="13"/>
                <w:szCs w:val="13"/>
                <w:color w:val="auto"/>
              </w:rPr>
            </w:pPr>
          </w:p>
        </w:tc>
        <w:tc>
          <w:tcPr>
            <w:tcW w:w="280" w:type="dxa"/>
            <w:vAlign w:val="bottom"/>
            <w:tcBorders>
              <w:top w:val="single" w:sz="8" w:color="FEFEFE"/>
              <w:bottom w:val="single" w:sz="8" w:color="FEFEFE"/>
            </w:tcBorders>
            <w:gridSpan w:val="3"/>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540" w:type="dxa"/>
            <w:vAlign w:val="bottom"/>
            <w:tcBorders>
              <w:right w:val="single" w:sz="8" w:color="FEFEFE"/>
            </w:tcBorders>
            <w:shd w:val="clear" w:color="auto" w:fill="FEFEFE"/>
          </w:tcPr>
          <w:p>
            <w:pPr>
              <w:spacing w:after="0"/>
              <w:rPr>
                <w:sz w:val="22"/>
                <w:szCs w:val="22"/>
                <w:color w:val="auto"/>
              </w:rPr>
            </w:pPr>
          </w:p>
        </w:tc>
        <w:tc>
          <w:tcPr>
            <w:tcW w:w="9240" w:type="dxa"/>
            <w:vAlign w:val="bottom"/>
            <w:gridSpan w:val="9"/>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Instance Document</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9"/>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Schema</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9"/>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9"/>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Label Linkbase</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9"/>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9"/>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Definition Document</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9"/>
            <w:vMerge w:val="restart"/>
            <w:shd w:val="clear" w:color="auto" w:fill="FEFEFE"/>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92"/>
        </w:trPr>
        <w:tc>
          <w:tcPr>
            <w:tcW w:w="1440" w:type="dxa"/>
            <w:vAlign w:val="bottom"/>
            <w:shd w:val="clear" w:color="auto" w:fill="FEFEFE"/>
          </w:tcPr>
          <w:p>
            <w:pPr>
              <w:spacing w:after="0"/>
              <w:rPr>
                <w:sz w:val="7"/>
                <w:szCs w:val="7"/>
                <w:color w:val="auto"/>
              </w:rPr>
            </w:pPr>
          </w:p>
        </w:tc>
        <w:tc>
          <w:tcPr>
            <w:tcW w:w="540" w:type="dxa"/>
            <w:vAlign w:val="bottom"/>
            <w:tcBorders>
              <w:right w:val="single" w:sz="8" w:color="FEFEFE"/>
            </w:tcBorders>
            <w:shd w:val="clear" w:color="auto" w:fill="FEFEFE"/>
          </w:tcPr>
          <w:p>
            <w:pPr>
              <w:spacing w:after="0"/>
              <w:rPr>
                <w:sz w:val="7"/>
                <w:szCs w:val="7"/>
                <w:color w:val="auto"/>
              </w:rPr>
            </w:pPr>
          </w:p>
        </w:tc>
        <w:tc>
          <w:tcPr>
            <w:tcW w:w="9240" w:type="dxa"/>
            <w:vAlign w:val="bottom"/>
            <w:gridSpan w:val="9"/>
            <w:vMerge w:val="continue"/>
            <w:shd w:val="clear" w:color="auto" w:fill="FEFEF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shd w:val="clear" w:color="auto" w:fill="FEFEFE"/>
          </w:tcPr>
          <w:p>
            <w:pPr>
              <w:spacing w:after="0"/>
              <w:rPr>
                <w:sz w:val="8"/>
                <w:szCs w:val="8"/>
                <w:color w:val="auto"/>
              </w:rPr>
            </w:pPr>
          </w:p>
        </w:tc>
        <w:tc>
          <w:tcPr>
            <w:tcW w:w="540" w:type="dxa"/>
            <w:vAlign w:val="bottom"/>
            <w:tcBorders>
              <w:right w:val="single" w:sz="8" w:color="FEFEFE"/>
            </w:tcBorders>
            <w:shd w:val="clear" w:color="auto" w:fill="FEFEFE"/>
          </w:tcPr>
          <w:p>
            <w:pPr>
              <w:spacing w:after="0"/>
              <w:rPr>
                <w:sz w:val="8"/>
                <w:szCs w:val="8"/>
                <w:color w:val="auto"/>
              </w:rPr>
            </w:pPr>
          </w:p>
        </w:tc>
        <w:tc>
          <w:tcPr>
            <w:tcW w:w="1360" w:type="dxa"/>
            <w:vAlign w:val="bottom"/>
            <w:shd w:val="clear" w:color="auto" w:fill="FEFEFE"/>
          </w:tcPr>
          <w:p>
            <w:pPr>
              <w:spacing w:after="0"/>
              <w:rPr>
                <w:sz w:val="8"/>
                <w:szCs w:val="8"/>
                <w:color w:val="auto"/>
              </w:rPr>
            </w:pPr>
          </w:p>
        </w:tc>
        <w:tc>
          <w:tcPr>
            <w:tcW w:w="4320" w:type="dxa"/>
            <w:vAlign w:val="bottom"/>
            <w:shd w:val="clear" w:color="auto" w:fill="FEFEFE"/>
          </w:tcPr>
          <w:p>
            <w:pPr>
              <w:spacing w:after="0"/>
              <w:rPr>
                <w:sz w:val="8"/>
                <w:szCs w:val="8"/>
                <w:color w:val="auto"/>
              </w:rPr>
            </w:pPr>
          </w:p>
        </w:tc>
        <w:tc>
          <w:tcPr>
            <w:tcW w:w="320" w:type="dxa"/>
            <w:vAlign w:val="bottom"/>
            <w:shd w:val="clear" w:color="auto" w:fill="FEFEFE"/>
          </w:tcPr>
          <w:p>
            <w:pPr>
              <w:spacing w:after="0"/>
              <w:rPr>
                <w:sz w:val="8"/>
                <w:szCs w:val="8"/>
                <w:color w:val="auto"/>
              </w:rPr>
            </w:pPr>
          </w:p>
        </w:tc>
        <w:tc>
          <w:tcPr>
            <w:tcW w:w="2700" w:type="dxa"/>
            <w:vAlign w:val="bottom"/>
            <w:shd w:val="clear" w:color="auto" w:fill="FEFEFE"/>
          </w:tcPr>
          <w:p>
            <w:pPr>
              <w:spacing w:after="0"/>
              <w:rPr>
                <w:sz w:val="8"/>
                <w:szCs w:val="8"/>
                <w:color w:val="auto"/>
              </w:rPr>
            </w:pPr>
          </w:p>
        </w:tc>
        <w:tc>
          <w:tcPr>
            <w:tcW w:w="40" w:type="dxa"/>
            <w:vAlign w:val="bottom"/>
            <w:shd w:val="clear" w:color="auto" w:fill="FEFEFE"/>
          </w:tcPr>
          <w:p>
            <w:pPr>
              <w:spacing w:after="0"/>
              <w:rPr>
                <w:sz w:val="8"/>
                <w:szCs w:val="8"/>
                <w:color w:val="auto"/>
              </w:rPr>
            </w:pPr>
          </w:p>
        </w:tc>
        <w:tc>
          <w:tcPr>
            <w:tcW w:w="220" w:type="dxa"/>
            <w:vAlign w:val="bottom"/>
            <w:shd w:val="clear" w:color="auto" w:fill="FEFEFE"/>
          </w:tcPr>
          <w:p>
            <w:pPr>
              <w:spacing w:after="0"/>
              <w:rPr>
                <w:sz w:val="8"/>
                <w:szCs w:val="8"/>
                <w:color w:val="auto"/>
              </w:rPr>
            </w:pPr>
          </w:p>
        </w:tc>
        <w:tc>
          <w:tcPr>
            <w:tcW w:w="60" w:type="dxa"/>
            <w:vAlign w:val="bottom"/>
            <w:shd w:val="clear" w:color="auto" w:fill="FEFEFE"/>
          </w:tcPr>
          <w:p>
            <w:pPr>
              <w:spacing w:after="0"/>
              <w:rPr>
                <w:sz w:val="8"/>
                <w:szCs w:val="8"/>
                <w:color w:val="auto"/>
              </w:rPr>
            </w:pPr>
          </w:p>
        </w:tc>
        <w:tc>
          <w:tcPr>
            <w:tcW w:w="120" w:type="dxa"/>
            <w:vAlign w:val="bottom"/>
            <w:shd w:val="clear" w:color="auto" w:fill="FEFEFE"/>
          </w:tcPr>
          <w:p>
            <w:pPr>
              <w:spacing w:after="0"/>
              <w:rPr>
                <w:sz w:val="8"/>
                <w:szCs w:val="8"/>
                <w:color w:val="auto"/>
              </w:rPr>
            </w:pPr>
          </w:p>
        </w:tc>
        <w:tc>
          <w:tcPr>
            <w:tcW w:w="100" w:type="dxa"/>
            <w:vAlign w:val="bottom"/>
            <w:shd w:val="clear" w:color="auto" w:fill="FEFEFE"/>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0" w:lineRule="exact"/>
        <w:rPr>
          <w:sz w:val="20"/>
          <w:szCs w:val="20"/>
          <w:color w:val="auto"/>
        </w:rPr>
      </w:pPr>
    </w:p>
    <w:p>
      <w:pPr>
        <w:spacing w:after="0" w:line="288" w:lineRule="exact"/>
        <w:rPr>
          <w:sz w:val="20"/>
          <w:szCs w:val="20"/>
          <w:color w:val="auto"/>
        </w:rPr>
      </w:pPr>
    </w:p>
    <w:p>
      <w:pPr>
        <w:ind w:firstLine="629"/>
        <w:spacing w:after="0" w:line="28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228"/>
        </w:trPr>
        <w:tc>
          <w:tcPr>
            <w:tcW w:w="1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Virtu Financial, Inc.</w:t>
            </w:r>
          </w:p>
        </w:tc>
      </w:tr>
      <w:tr>
        <w:trPr>
          <w:trHeight w:val="747"/>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2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May 3, 2022</w:t>
            </w:r>
          </w:p>
        </w:tc>
        <w:tc>
          <w:tcPr>
            <w:tcW w:w="13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Douglas A. Cifu</w:t>
            </w:r>
          </w:p>
        </w:tc>
      </w:tr>
      <w:tr>
        <w:trPr>
          <w:trHeight w:val="211"/>
        </w:trPr>
        <w:tc>
          <w:tcPr>
            <w:tcW w:w="1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Douglas A. Cifu</w:t>
            </w:r>
          </w:p>
        </w:tc>
      </w:tr>
      <w:tr>
        <w:trPr>
          <w:trHeight w:val="228"/>
        </w:trPr>
        <w:tc>
          <w:tcPr>
            <w:tcW w:w="1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747"/>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2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May 3, 2022</w:t>
            </w:r>
          </w:p>
        </w:tc>
        <w:tc>
          <w:tcPr>
            <w:tcW w:w="13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Sean P. Galvin</w:t>
            </w:r>
          </w:p>
        </w:tc>
      </w:tr>
      <w:tr>
        <w:trPr>
          <w:trHeight w:val="211"/>
        </w:trPr>
        <w:tc>
          <w:tcPr>
            <w:tcW w:w="1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Sean P. Galvin</w:t>
            </w:r>
          </w:p>
        </w:tc>
      </w:tr>
      <w:tr>
        <w:trPr>
          <w:trHeight w:val="228"/>
        </w:trPr>
        <w:tc>
          <w:tcPr>
            <w:tcW w:w="1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838"/>
        </w:trPr>
        <w:tc>
          <w:tcPr>
            <w:tcW w:w="1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72</w:t>
            </w:r>
          </w:p>
        </w:tc>
      </w:tr>
    </w:tbl>
    <w:p>
      <w:pPr>
        <w:sectPr>
          <w:pgSz w:w="11900" w:h="16838" w:orient="portrait"/>
          <w:cols w:equalWidth="0" w:num="1">
            <w:col w:w="10660"/>
          </w:cols>
          <w:pgMar w:left="320" w:top="121" w:right="919" w:bottom="1440" w:gutter="0" w:footer="0" w:header="0"/>
        </w:sectPr>
      </w:pPr>
    </w:p>
    <w:bookmarkStart w:id="73" w:name="page74"/>
    <w:bookmarkEnd w:id="73"/>
    <w:p>
      <w:pPr>
        <w:jc w:val="center"/>
        <w:ind w:right="430"/>
        <w:spacing w:after="0"/>
        <w:rPr>
          <w:sz w:val="20"/>
          <w:szCs w:val="20"/>
          <w:color w:val="auto"/>
        </w:rPr>
      </w:pPr>
      <w:r>
        <w:rPr>
          <w:rFonts w:ascii="Times New Roman" w:cs="Times New Roman" w:eastAsia="Times New Roman" w:hAnsi="Times New Roman"/>
          <w:sz w:val="19"/>
          <w:szCs w:val="19"/>
          <w:b w:val="1"/>
          <w:bCs w:val="1"/>
          <w:color w:val="auto"/>
        </w:rPr>
        <w:t>VIRTU FINANCIAL, INC. AMENDED AND</w:t>
      </w:r>
    </w:p>
    <w:p>
      <w:pPr>
        <w:jc w:val="center"/>
        <w:ind w:right="430"/>
        <w:spacing w:after="0" w:line="215" w:lineRule="auto"/>
        <w:rPr>
          <w:sz w:val="20"/>
          <w:szCs w:val="20"/>
          <w:color w:val="auto"/>
        </w:rPr>
      </w:pPr>
      <w:r>
        <w:rPr>
          <w:rFonts w:ascii="Times New Roman" w:cs="Times New Roman" w:eastAsia="Times New Roman" w:hAnsi="Times New Roman"/>
          <w:sz w:val="19"/>
          <w:szCs w:val="19"/>
          <w:b w:val="1"/>
          <w:bCs w:val="1"/>
          <w:color w:val="auto"/>
        </w:rPr>
        <w:t>RESTATED</w:t>
      </w:r>
    </w:p>
    <w:p>
      <w:pPr>
        <w:jc w:val="center"/>
        <w:ind w:right="430"/>
        <w:spacing w:after="0" w:line="216" w:lineRule="auto"/>
        <w:rPr>
          <w:sz w:val="20"/>
          <w:szCs w:val="20"/>
          <w:color w:val="auto"/>
        </w:rPr>
      </w:pPr>
      <w:r>
        <w:rPr>
          <w:rFonts w:ascii="Times New Roman" w:cs="Times New Roman" w:eastAsia="Times New Roman" w:hAnsi="Times New Roman"/>
          <w:sz w:val="19"/>
          <w:szCs w:val="19"/>
          <w:b w:val="1"/>
          <w:bCs w:val="1"/>
          <w:color w:val="auto"/>
        </w:rPr>
        <w:t>2015 MANAGEMENT INCENTIVE PLAN EMPLOYEE</w:t>
      </w:r>
    </w:p>
    <w:p>
      <w:pPr>
        <w:spacing w:after="0" w:line="1" w:lineRule="exact"/>
        <w:rPr>
          <w:sz w:val="20"/>
          <w:szCs w:val="20"/>
          <w:color w:val="auto"/>
        </w:rPr>
      </w:pPr>
    </w:p>
    <w:p>
      <w:pPr>
        <w:jc w:val="center"/>
        <w:ind w:right="430"/>
        <w:spacing w:after="0"/>
        <w:rPr>
          <w:sz w:val="20"/>
          <w:szCs w:val="20"/>
          <w:color w:val="auto"/>
        </w:rPr>
      </w:pPr>
      <w:r>
        <w:rPr>
          <w:rFonts w:ascii="Times New Roman" w:cs="Times New Roman" w:eastAsia="Times New Roman" w:hAnsi="Times New Roman"/>
          <w:sz w:val="19"/>
          <w:szCs w:val="19"/>
          <w:b w:val="1"/>
          <w:bCs w:val="1"/>
          <w:u w:val="single" w:color="auto"/>
          <w:color w:val="auto"/>
        </w:rPr>
        <w:t>RESTRICTED STOCK UNIT AWARD AGREEMENT</w:t>
      </w:r>
    </w:p>
    <w:p>
      <w:pPr>
        <w:spacing w:after="0" w:line="100" w:lineRule="exact"/>
        <w:rPr>
          <w:sz w:val="20"/>
          <w:szCs w:val="20"/>
          <w:color w:val="auto"/>
        </w:rPr>
      </w:pPr>
    </w:p>
    <w:p>
      <w:pPr>
        <w:ind w:left="630"/>
        <w:spacing w:after="0"/>
        <w:rPr>
          <w:sz w:val="20"/>
          <w:szCs w:val="20"/>
          <w:color w:val="auto"/>
        </w:rPr>
      </w:pPr>
      <w:r>
        <w:rPr>
          <w:rFonts w:ascii="Times New Roman" w:cs="Times New Roman" w:eastAsia="Times New Roman" w:hAnsi="Times New Roman"/>
          <w:sz w:val="19"/>
          <w:szCs w:val="19"/>
          <w:color w:val="auto"/>
        </w:rPr>
        <w:t>THIS RESTRICTED STOCK UNIT AWARD AGREEMENT (the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is entered into as of March 1, 2022 (the</w:t>
      </w:r>
    </w:p>
    <w:p>
      <w:pPr>
        <w:ind w:left="10" w:right="1180"/>
        <w:spacing w:after="0" w:line="22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Date of Grant</w:t>
      </w:r>
      <w:r>
        <w:rPr>
          <w:rFonts w:ascii="Times New Roman" w:cs="Times New Roman" w:eastAsia="Times New Roman" w:hAnsi="Times New Roman"/>
          <w:sz w:val="19"/>
          <w:szCs w:val="19"/>
          <w:color w:val="auto"/>
        </w:rPr>
        <w:t>”), by and between Virtu Financial, Inc., a Delaware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Douglas A. Cifu (the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w:t>
      </w:r>
    </w:p>
    <w:p>
      <w:pPr>
        <w:spacing w:after="0" w:line="104" w:lineRule="exact"/>
        <w:rPr>
          <w:sz w:val="20"/>
          <w:szCs w:val="20"/>
          <w:color w:val="auto"/>
        </w:rPr>
      </w:pPr>
    </w:p>
    <w:p>
      <w:pPr>
        <w:ind w:left="10" w:right="700" w:firstLine="628"/>
        <w:spacing w:after="0" w:line="251" w:lineRule="auto"/>
        <w:rPr>
          <w:sz w:val="20"/>
          <w:szCs w:val="20"/>
          <w:color w:val="auto"/>
        </w:rPr>
      </w:pPr>
      <w:r>
        <w:rPr>
          <w:rFonts w:ascii="Times New Roman" w:cs="Times New Roman" w:eastAsia="Times New Roman" w:hAnsi="Times New Roman"/>
          <w:sz w:val="19"/>
          <w:szCs w:val="19"/>
          <w:color w:val="auto"/>
        </w:rPr>
        <w:t>WHEREAS, the Company has adopted the Virtu Financial, Inc. Amended and Restated 2015 Management Incentive Plan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pursuant to which Restricted Stock Units (the “</w:t>
      </w:r>
      <w:r>
        <w:rPr>
          <w:rFonts w:ascii="Times New Roman" w:cs="Times New Roman" w:eastAsia="Times New Roman" w:hAnsi="Times New Roman"/>
          <w:sz w:val="19"/>
          <w:szCs w:val="19"/>
          <w:u w:val="single" w:color="auto"/>
          <w:color w:val="auto"/>
        </w:rPr>
        <w:t>RSUs</w:t>
      </w:r>
      <w:r>
        <w:rPr>
          <w:rFonts w:ascii="Times New Roman" w:cs="Times New Roman" w:eastAsia="Times New Roman" w:hAnsi="Times New Roman"/>
          <w:sz w:val="19"/>
          <w:szCs w:val="19"/>
          <w:color w:val="auto"/>
        </w:rPr>
        <w:t>”) may be granted;</w:t>
      </w:r>
    </w:p>
    <w:p>
      <w:pPr>
        <w:spacing w:after="0" w:line="80" w:lineRule="exact"/>
        <w:rPr>
          <w:sz w:val="20"/>
          <w:szCs w:val="20"/>
          <w:color w:val="auto"/>
        </w:rPr>
      </w:pPr>
    </w:p>
    <w:p>
      <w:pPr>
        <w:jc w:val="both"/>
        <w:ind w:left="10" w:right="740" w:firstLine="628"/>
        <w:spacing w:after="0" w:line="235" w:lineRule="auto"/>
        <w:rPr>
          <w:sz w:val="20"/>
          <w:szCs w:val="20"/>
          <w:color w:val="auto"/>
        </w:rPr>
      </w:pPr>
      <w:r>
        <w:rPr>
          <w:rFonts w:ascii="Times New Roman" w:cs="Times New Roman" w:eastAsia="Times New Roman" w:hAnsi="Times New Roman"/>
          <w:sz w:val="19"/>
          <w:szCs w:val="19"/>
          <w:color w:val="auto"/>
        </w:rPr>
        <w:t>WHEREAS, the Company and the Participant entered into that certain Amended and Restated Employment Agreement, dated as of November 15, 2017 (the “</w:t>
      </w:r>
      <w:r>
        <w:rPr>
          <w:rFonts w:ascii="Times New Roman" w:cs="Times New Roman" w:eastAsia="Times New Roman" w:hAnsi="Times New Roman"/>
          <w:sz w:val="19"/>
          <w:szCs w:val="19"/>
          <w:u w:val="single" w:color="auto"/>
          <w:color w:val="auto"/>
        </w:rPr>
        <w:t>Employment Agreement</w:t>
      </w:r>
      <w:r>
        <w:rPr>
          <w:rFonts w:ascii="Times New Roman" w:cs="Times New Roman" w:eastAsia="Times New Roman" w:hAnsi="Times New Roman"/>
          <w:sz w:val="19"/>
          <w:szCs w:val="19"/>
          <w:color w:val="auto"/>
        </w:rPr>
        <w:t>”), pursuant to which the Participant is eligible to receive an equity award at the beginning of each calendar year during the Term (as defined in the Employment Agreement);</w:t>
      </w:r>
    </w:p>
    <w:p>
      <w:pPr>
        <w:spacing w:after="0" w:line="92" w:lineRule="exact"/>
        <w:rPr>
          <w:sz w:val="20"/>
          <w:szCs w:val="20"/>
          <w:color w:val="auto"/>
        </w:rPr>
      </w:pPr>
    </w:p>
    <w:p>
      <w:pPr>
        <w:ind w:left="10" w:right="800" w:firstLine="628"/>
        <w:spacing w:after="0" w:line="235" w:lineRule="auto"/>
        <w:rPr>
          <w:sz w:val="20"/>
          <w:szCs w:val="20"/>
          <w:color w:val="auto"/>
        </w:rPr>
      </w:pPr>
      <w:r>
        <w:rPr>
          <w:rFonts w:ascii="Times New Roman" w:cs="Times New Roman" w:eastAsia="Times New Roman" w:hAnsi="Times New Roman"/>
          <w:sz w:val="19"/>
          <w:szCs w:val="19"/>
          <w:color w:val="auto"/>
        </w:rPr>
        <w:t>WHEREAS, the Company has adopted that certain Deferred Compensation Plan, effective November 13, 2020 and as amended from time to time (the “</w:t>
      </w:r>
      <w:r>
        <w:rPr>
          <w:rFonts w:ascii="Times New Roman" w:cs="Times New Roman" w:eastAsia="Times New Roman" w:hAnsi="Times New Roman"/>
          <w:sz w:val="19"/>
          <w:szCs w:val="19"/>
          <w:u w:val="single" w:color="auto"/>
          <w:color w:val="auto"/>
        </w:rPr>
        <w:t>Deferred Compensation Plan</w:t>
      </w:r>
      <w:r>
        <w:rPr>
          <w:rFonts w:ascii="Times New Roman" w:cs="Times New Roman" w:eastAsia="Times New Roman" w:hAnsi="Times New Roman"/>
          <w:sz w:val="19"/>
          <w:szCs w:val="19"/>
          <w:color w:val="auto"/>
        </w:rPr>
        <w:t>”) pursuant to which eligible employees may elect to defer certain compensation in accordance with the terms thereof and any other applicable requirements or conditions;</w:t>
      </w:r>
    </w:p>
    <w:p>
      <w:pPr>
        <w:spacing w:after="0" w:line="92" w:lineRule="exact"/>
        <w:rPr>
          <w:sz w:val="20"/>
          <w:szCs w:val="20"/>
          <w:color w:val="auto"/>
        </w:rPr>
      </w:pPr>
    </w:p>
    <w:p>
      <w:pPr>
        <w:ind w:left="10" w:right="600" w:firstLine="628"/>
        <w:spacing w:after="0" w:line="235" w:lineRule="auto"/>
        <w:rPr>
          <w:sz w:val="20"/>
          <w:szCs w:val="20"/>
          <w:color w:val="auto"/>
        </w:rPr>
      </w:pPr>
      <w:r>
        <w:rPr>
          <w:rFonts w:ascii="Times New Roman" w:cs="Times New Roman" w:eastAsia="Times New Roman" w:hAnsi="Times New Roman"/>
          <w:sz w:val="19"/>
          <w:szCs w:val="19"/>
          <w:color w:val="auto"/>
        </w:rPr>
        <w:t>WHEREAS, the Participant made a deferral election in accordance with the Deferred Compensation Plan on or prior to December 31, 2021 pursuant to which the Participant elected to defer all equity compensation awarded in consideration of services rendered in the fiscal year ended December 31, 2022 (the “</w:t>
      </w:r>
      <w:r>
        <w:rPr>
          <w:rFonts w:ascii="Times New Roman" w:cs="Times New Roman" w:eastAsia="Times New Roman" w:hAnsi="Times New Roman"/>
          <w:sz w:val="19"/>
          <w:szCs w:val="19"/>
          <w:u w:val="single" w:color="auto"/>
          <w:color w:val="auto"/>
        </w:rPr>
        <w:t>Cifu 2022 Deferral Election</w:t>
      </w:r>
      <w:r>
        <w:rPr>
          <w:rFonts w:ascii="Times New Roman" w:cs="Times New Roman" w:eastAsia="Times New Roman" w:hAnsi="Times New Roman"/>
          <w:sz w:val="19"/>
          <w:szCs w:val="19"/>
          <w:color w:val="auto"/>
        </w:rPr>
        <w:t>”);</w:t>
      </w:r>
    </w:p>
    <w:p>
      <w:pPr>
        <w:spacing w:after="0" w:line="92" w:lineRule="exact"/>
        <w:rPr>
          <w:sz w:val="20"/>
          <w:szCs w:val="20"/>
          <w:color w:val="auto"/>
        </w:rPr>
      </w:pPr>
    </w:p>
    <w:p>
      <w:pPr>
        <w:ind w:left="10" w:right="520" w:firstLine="628"/>
        <w:spacing w:after="0" w:line="235" w:lineRule="auto"/>
        <w:rPr>
          <w:sz w:val="20"/>
          <w:szCs w:val="20"/>
          <w:color w:val="auto"/>
        </w:rPr>
      </w:pPr>
      <w:r>
        <w:rPr>
          <w:rFonts w:ascii="Times New Roman" w:cs="Times New Roman" w:eastAsia="Times New Roman" w:hAnsi="Times New Roman"/>
          <w:sz w:val="19"/>
          <w:szCs w:val="19"/>
          <w:color w:val="auto"/>
        </w:rPr>
        <w:t>WHEREAS, the Compensation Committee of the Board of Directors of the Company has previously determined that it is in the best interests of the Company and its stockholders to grant the annual award in accordance with the terms of Participant’s Employment Agreement;</w:t>
      </w:r>
    </w:p>
    <w:p>
      <w:pPr>
        <w:spacing w:after="0" w:line="92" w:lineRule="exact"/>
        <w:rPr>
          <w:sz w:val="20"/>
          <w:szCs w:val="20"/>
          <w:color w:val="auto"/>
        </w:rPr>
      </w:pPr>
    </w:p>
    <w:p>
      <w:pPr>
        <w:ind w:left="10" w:firstLine="628"/>
        <w:spacing w:after="0" w:line="235" w:lineRule="auto"/>
        <w:rPr>
          <w:sz w:val="20"/>
          <w:szCs w:val="20"/>
          <w:color w:val="auto"/>
        </w:rPr>
      </w:pPr>
      <w:r>
        <w:rPr>
          <w:rFonts w:ascii="Times New Roman" w:cs="Times New Roman" w:eastAsia="Times New Roman" w:hAnsi="Times New Roman"/>
          <w:sz w:val="19"/>
          <w:szCs w:val="19"/>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68" w:lineRule="exact"/>
        <w:rPr>
          <w:sz w:val="20"/>
          <w:szCs w:val="20"/>
          <w:color w:val="auto"/>
        </w:rPr>
      </w:pPr>
    </w:p>
    <w:p>
      <w:pPr>
        <w:ind w:left="630" w:hanging="630"/>
        <w:spacing w:after="0"/>
        <w:tabs>
          <w:tab w:leader="none" w:pos="630" w:val="left"/>
        </w:tabs>
        <w:numPr>
          <w:ilvl w:val="0"/>
          <w:numId w:val="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Grant of Restricted Stock Units.</w:t>
      </w:r>
    </w:p>
    <w:p>
      <w:pPr>
        <w:spacing w:after="0" w:line="215" w:lineRule="exact"/>
        <w:rPr>
          <w:rFonts w:ascii="Times New Roman" w:cs="Times New Roman" w:eastAsia="Times New Roman" w:hAnsi="Times New Roman"/>
          <w:sz w:val="19"/>
          <w:szCs w:val="19"/>
          <w:b w:val="1"/>
          <w:bCs w:val="1"/>
          <w:color w:val="auto"/>
        </w:rPr>
      </w:pPr>
    </w:p>
    <w:p>
      <w:pPr>
        <w:jc w:val="both"/>
        <w:ind w:left="10" w:right="680" w:firstLine="619"/>
        <w:spacing w:after="0" w:line="235" w:lineRule="auto"/>
        <w:tabs>
          <w:tab w:leader="none" w:pos="1387"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Grant</w:t>
      </w:r>
      <w:r>
        <w:rPr>
          <w:rFonts w:ascii="Times New Roman" w:cs="Times New Roman" w:eastAsia="Times New Roman" w:hAnsi="Times New Roman"/>
          <w:sz w:val="19"/>
          <w:szCs w:val="19"/>
          <w:color w:val="auto"/>
        </w:rPr>
        <w:t>. The Company hereby grants to the Participant 150,000 RSUs on the terms and conditions set forth in this Agreement and as otherwise provided in the Plan. The RSUs shall be credited to a separate book-entry account maintained for the Participant on the books of the Company, which may be maintained by a third party.</w:t>
      </w:r>
    </w:p>
    <w:p>
      <w:pPr>
        <w:spacing w:after="0" w:line="183" w:lineRule="exact"/>
        <w:rPr>
          <w:rFonts w:ascii="Times New Roman" w:cs="Times New Roman" w:eastAsia="Times New Roman" w:hAnsi="Times New Roman"/>
          <w:sz w:val="19"/>
          <w:szCs w:val="19"/>
          <w:color w:val="auto"/>
        </w:rPr>
      </w:pPr>
    </w:p>
    <w:p>
      <w:pPr>
        <w:ind w:left="10" w:right="600" w:firstLine="619"/>
        <w:spacing w:after="0" w:line="220" w:lineRule="auto"/>
        <w:tabs>
          <w:tab w:leader="none" w:pos="1385"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Incorporation by Reference</w:t>
      </w:r>
      <w:r>
        <w:rPr>
          <w:rFonts w:ascii="Times New Roman" w:cs="Times New Roman" w:eastAsia="Times New Roman" w:hAnsi="Times New Roman"/>
          <w:sz w:val="19"/>
          <w:szCs w:val="19"/>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w:t>
      </w:r>
    </w:p>
    <w:p>
      <w:pPr>
        <w:sectPr>
          <w:pgSz w:w="11900" w:h="16838" w:orient="portrait"/>
          <w:cols w:equalWidth="0" w:num="1">
            <w:col w:w="10670"/>
          </w:cols>
          <w:pgMar w:left="830" w:top="1125" w:right="399" w:bottom="1440" w:gutter="0" w:footer="0" w:header="0"/>
        </w:sectPr>
      </w:pPr>
    </w:p>
    <w:bookmarkStart w:id="74" w:name="page75"/>
    <w:bookmarkEnd w:id="74"/>
    <w:p>
      <w:pPr>
        <w:ind w:left="10" w:right="120"/>
        <w:spacing w:after="0" w:line="251" w:lineRule="auto"/>
        <w:rPr>
          <w:sz w:val="20"/>
          <w:szCs w:val="20"/>
          <w:color w:val="auto"/>
        </w:rPr>
      </w:pPr>
      <w:r>
        <w:rPr>
          <w:rFonts w:ascii="Times New Roman" w:cs="Times New Roman" w:eastAsia="Times New Roman" w:hAnsi="Times New Roman"/>
          <w:sz w:val="19"/>
          <w:szCs w:val="19"/>
          <w:color w:val="auto"/>
        </w:rPr>
        <w:t>acknowledges that he has received a copy of the Plan and has had an opportunity to review the Plan and agrees to be bound by all the terms and provisions of the Plan.</w:t>
      </w:r>
    </w:p>
    <w:p>
      <w:pPr>
        <w:spacing w:after="0" w:line="170" w:lineRule="exact"/>
        <w:rPr>
          <w:sz w:val="20"/>
          <w:szCs w:val="20"/>
          <w:color w:val="auto"/>
        </w:rPr>
      </w:pPr>
    </w:p>
    <w:p>
      <w:pPr>
        <w:ind w:left="630" w:hanging="630"/>
        <w:spacing w:after="0"/>
        <w:tabs>
          <w:tab w:leader="none" w:pos="630" w:val="left"/>
        </w:tabs>
        <w:numPr>
          <w:ilvl w:val="0"/>
          <w:numId w:val="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Vesting; Settlement of Restricted Stock Units.</w:t>
      </w:r>
    </w:p>
    <w:p>
      <w:pPr>
        <w:spacing w:after="0" w:line="215" w:lineRule="exact"/>
        <w:rPr>
          <w:rFonts w:ascii="Times New Roman" w:cs="Times New Roman" w:eastAsia="Times New Roman" w:hAnsi="Times New Roman"/>
          <w:sz w:val="19"/>
          <w:szCs w:val="19"/>
          <w:b w:val="1"/>
          <w:bCs w:val="1"/>
          <w:color w:val="auto"/>
        </w:rPr>
      </w:pPr>
    </w:p>
    <w:p>
      <w:pPr>
        <w:ind w:left="10" w:right="20" w:firstLine="619"/>
        <w:spacing w:after="0" w:line="221" w:lineRule="auto"/>
        <w:tabs>
          <w:tab w:leader="none" w:pos="1387"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Participant’s continued employment or service with the Company or an Affiliate, except as may otherwise be provided herein or in the Employment Agreement, the number of RSUs earned pursuant to Section 2(b) hereof shall vest in two (2) equal installments on each of December 31, 2022 and December 31, 2023 (each such date, a “</w:t>
      </w:r>
      <w:r>
        <w:rPr>
          <w:rFonts w:ascii="Times New Roman" w:cs="Times New Roman" w:eastAsia="Times New Roman" w:hAnsi="Times New Roman"/>
          <w:sz w:val="19"/>
          <w:szCs w:val="19"/>
          <w:u w:val="single" w:color="auto"/>
          <w:color w:val="auto"/>
        </w:rPr>
        <w:t>Vesting Date</w:t>
      </w:r>
      <w:r>
        <w:rPr>
          <w:rFonts w:ascii="Times New Roman" w:cs="Times New Roman" w:eastAsia="Times New Roman" w:hAnsi="Times New Roman"/>
          <w:sz w:val="19"/>
          <w:szCs w:val="19"/>
          <w:color w:val="auto"/>
        </w:rPr>
        <w:t>”). Upon each Vesting Date, such portion of the RSUs that vest on such date shall no longer be subject to the transfer restrictions pursuant to Section 8(a) hereof or cancellation pursuant to Section 4 hereof. Any fractional RSUs resulting from the application of the vesting schedule shall be aggregated and the RSUs resulting from such aggregation shall vest on the final Vesting Date.</w:t>
      </w:r>
    </w:p>
    <w:p>
      <w:pPr>
        <w:spacing w:after="0" w:line="181" w:lineRule="exact"/>
        <w:rPr>
          <w:rFonts w:ascii="Times New Roman" w:cs="Times New Roman" w:eastAsia="Times New Roman" w:hAnsi="Times New Roman"/>
          <w:sz w:val="19"/>
          <w:szCs w:val="19"/>
          <w:color w:val="auto"/>
        </w:rPr>
      </w:pPr>
    </w:p>
    <w:p>
      <w:pPr>
        <w:ind w:left="10" w:right="280" w:firstLine="619"/>
        <w:spacing w:after="0" w:line="235" w:lineRule="auto"/>
        <w:tabs>
          <w:tab w:leader="none" w:pos="1385"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number of RSUs earned under this Agreement shall be determined based on the percentage of the Company’s Adjusted EBITDA target as set forth in the Company’s approved annual budget (“</w:t>
      </w:r>
      <w:r>
        <w:rPr>
          <w:rFonts w:ascii="Times New Roman" w:cs="Times New Roman" w:eastAsia="Times New Roman" w:hAnsi="Times New Roman"/>
          <w:sz w:val="19"/>
          <w:szCs w:val="19"/>
          <w:u w:val="single" w:color="auto"/>
          <w:color w:val="auto"/>
        </w:rPr>
        <w:t>Budgeted EBITDA</w:t>
      </w:r>
      <w:r>
        <w:rPr>
          <w:rFonts w:ascii="Times New Roman" w:cs="Times New Roman" w:eastAsia="Times New Roman" w:hAnsi="Times New Roman"/>
          <w:sz w:val="19"/>
          <w:szCs w:val="19"/>
          <w:color w:val="auto"/>
        </w:rPr>
        <w:t>”) achieved in calendar year 2021 in accordance with the table below.</w:t>
      </w:r>
    </w:p>
    <w:p>
      <w:pPr>
        <w:spacing w:after="0" w:line="226" w:lineRule="exact"/>
        <w:rPr>
          <w:sz w:val="20"/>
          <w:szCs w:val="20"/>
          <w:color w:val="auto"/>
        </w:rPr>
      </w:pPr>
    </w:p>
    <w:tbl>
      <w:tblPr>
        <w:tblLayout w:type="fixed"/>
        <w:tblInd w:w="1740" w:type="dxa"/>
        <w:tblCellMar>
          <w:top w:w="0" w:type="dxa"/>
          <w:left w:w="0" w:type="dxa"/>
          <w:bottom w:w="0" w:type="dxa"/>
          <w:right w:w="0" w:type="dxa"/>
        </w:tblCellMar>
      </w:tblPr>
      <w:tr>
        <w:trPr>
          <w:trHeight w:val="210"/>
        </w:trPr>
        <w:tc>
          <w:tcPr>
            <w:tcW w:w="2720" w:type="dxa"/>
            <w:vAlign w:val="bottom"/>
            <w:tcBorders>
              <w:top w:val="single" w:sz="8" w:color="auto"/>
              <w:left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b w:val="1"/>
                <w:bCs w:val="1"/>
                <w:color w:val="auto"/>
              </w:rPr>
              <w:t>Percentage of Budgeted</w:t>
            </w:r>
          </w:p>
        </w:tc>
        <w:tc>
          <w:tcPr>
            <w:tcW w:w="2420" w:type="dxa"/>
            <w:vAlign w:val="bottom"/>
            <w:tcBorders>
              <w:top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b w:val="1"/>
                <w:bCs w:val="1"/>
                <w:color w:val="auto"/>
              </w:rPr>
              <w:t>Number of RSUs</w:t>
            </w:r>
          </w:p>
        </w:tc>
      </w:tr>
      <w:tr>
        <w:trPr>
          <w:trHeight w:val="268"/>
        </w:trPr>
        <w:tc>
          <w:tcPr>
            <w:tcW w:w="2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EBITDA Achieved</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Earned</w:t>
            </w:r>
          </w:p>
        </w:tc>
      </w:tr>
      <w:tr>
        <w:trPr>
          <w:trHeight w:val="21"/>
        </w:trPr>
        <w:tc>
          <w:tcPr>
            <w:tcW w:w="2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20" w:type="dxa"/>
            <w:vAlign w:val="bottom"/>
            <w:tcBorders>
              <w:bottom w:val="single" w:sz="8" w:color="auto"/>
              <w:right w:val="single" w:sz="8" w:color="auto"/>
            </w:tcBorders>
          </w:tcPr>
          <w:p>
            <w:pPr>
              <w:spacing w:after="0" w:line="20" w:lineRule="exact"/>
              <w:rPr>
                <w:sz w:val="1"/>
                <w:szCs w:val="1"/>
                <w:color w:val="auto"/>
              </w:rPr>
            </w:pPr>
          </w:p>
        </w:tc>
      </w:tr>
      <w:tr>
        <w:trPr>
          <w:trHeight w:val="25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75% or more</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150,000</w:t>
            </w:r>
          </w:p>
        </w:tc>
      </w:tr>
      <w:tr>
        <w:trPr>
          <w:trHeight w:val="255"/>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74%</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135,000</w:t>
            </w:r>
          </w:p>
        </w:tc>
      </w:tr>
      <w:tr>
        <w:trPr>
          <w:trHeight w:val="255"/>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73%</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120,000</w:t>
            </w:r>
          </w:p>
        </w:tc>
      </w:tr>
      <w:tr>
        <w:trPr>
          <w:trHeight w:val="251"/>
        </w:trPr>
        <w:tc>
          <w:tcPr>
            <w:tcW w:w="27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72%</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105,000</w:t>
            </w:r>
          </w:p>
        </w:tc>
      </w:tr>
      <w:tr>
        <w:trPr>
          <w:trHeight w:val="21"/>
        </w:trPr>
        <w:tc>
          <w:tcPr>
            <w:tcW w:w="2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20" w:type="dxa"/>
            <w:vAlign w:val="bottom"/>
            <w:tcBorders>
              <w:bottom w:val="single" w:sz="8" w:color="auto"/>
              <w:right w:val="single" w:sz="8" w:color="auto"/>
            </w:tcBorders>
          </w:tcPr>
          <w:p>
            <w:pPr>
              <w:spacing w:after="0" w:line="20" w:lineRule="exact"/>
              <w:rPr>
                <w:sz w:val="1"/>
                <w:szCs w:val="1"/>
                <w:color w:val="auto"/>
              </w:rPr>
            </w:pPr>
          </w:p>
        </w:tc>
      </w:tr>
      <w:tr>
        <w:trPr>
          <w:trHeight w:val="251"/>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71%</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90,000</w:t>
            </w:r>
          </w:p>
        </w:tc>
      </w:tr>
      <w:tr>
        <w:trPr>
          <w:trHeight w:val="255"/>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70%</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75,000</w:t>
            </w:r>
          </w:p>
        </w:tc>
      </w:tr>
      <w:tr>
        <w:trPr>
          <w:trHeight w:val="255"/>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Less than 70%</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0</w:t>
            </w:r>
          </w:p>
        </w:tc>
      </w:tr>
    </w:tbl>
    <w:p>
      <w:pPr>
        <w:spacing w:after="0" w:line="200" w:lineRule="exact"/>
        <w:rPr>
          <w:sz w:val="20"/>
          <w:szCs w:val="20"/>
          <w:color w:val="auto"/>
        </w:rPr>
      </w:pPr>
    </w:p>
    <w:p>
      <w:pPr>
        <w:spacing w:after="0" w:line="262" w:lineRule="exact"/>
        <w:rPr>
          <w:sz w:val="20"/>
          <w:szCs w:val="20"/>
          <w:color w:val="auto"/>
        </w:rPr>
      </w:pPr>
    </w:p>
    <w:p>
      <w:pPr>
        <w:ind w:left="10" w:right="200" w:firstLine="1256"/>
        <w:spacing w:after="0" w:line="251" w:lineRule="auto"/>
        <w:rPr>
          <w:sz w:val="20"/>
          <w:szCs w:val="20"/>
          <w:color w:val="auto"/>
        </w:rPr>
      </w:pPr>
      <w:r>
        <w:rPr>
          <w:rFonts w:ascii="Times New Roman" w:cs="Times New Roman" w:eastAsia="Times New Roman" w:hAnsi="Times New Roman"/>
          <w:sz w:val="19"/>
          <w:szCs w:val="19"/>
          <w:color w:val="auto"/>
        </w:rPr>
        <w:t>If the percentage of the Company’s Budgeted EBITDA achieved is greater than 70% but less than 75%, then the amount of earned RSUs in the table above will be determined based on linear interpolation.</w:t>
      </w:r>
    </w:p>
    <w:p>
      <w:pPr>
        <w:spacing w:after="0" w:line="198" w:lineRule="exact"/>
        <w:rPr>
          <w:sz w:val="20"/>
          <w:szCs w:val="20"/>
          <w:color w:val="auto"/>
        </w:rPr>
      </w:pPr>
    </w:p>
    <w:p>
      <w:pPr>
        <w:ind w:left="10" w:firstLine="619"/>
        <w:spacing w:after="0" w:line="249" w:lineRule="auto"/>
        <w:tabs>
          <w:tab w:leader="none" w:pos="1381"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Vested RSUs shall be settled in shares of Class A Common Stock, or cash, as determined by the Committee in its sole discretion, at the time(s) specified pursuant to the Cifu 2022 Deferral Election, a copy of which is attached and incorporated herein.</w:t>
      </w:r>
    </w:p>
    <w:p>
      <w:pPr>
        <w:spacing w:after="0" w:line="184" w:lineRule="exact"/>
        <w:rPr>
          <w:rFonts w:ascii="Times New Roman" w:cs="Times New Roman" w:eastAsia="Times New Roman" w:hAnsi="Times New Roman"/>
          <w:sz w:val="21"/>
          <w:szCs w:val="21"/>
          <w:color w:val="auto"/>
        </w:rPr>
      </w:pPr>
    </w:p>
    <w:p>
      <w:pPr>
        <w:ind w:left="750" w:hanging="749"/>
        <w:spacing w:after="0"/>
        <w:tabs>
          <w:tab w:leader="none" w:pos="750" w:val="left"/>
        </w:tabs>
        <w:numPr>
          <w:ilvl w:val="0"/>
          <w:numId w:val="2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Dividends Equivalents. </w:t>
      </w:r>
      <w:r>
        <w:rPr>
          <w:rFonts w:ascii="Times New Roman" w:cs="Times New Roman" w:eastAsia="Times New Roman" w:hAnsi="Times New Roman"/>
          <w:sz w:val="19"/>
          <w:szCs w:val="19"/>
          <w:color w:val="auto"/>
        </w:rPr>
        <w:t>In the event of any issuance of a cash dividend on the shares of Class A Common Stock (a</w:t>
      </w:r>
    </w:p>
    <w:p>
      <w:pPr>
        <w:ind w:left="10"/>
        <w:spacing w:after="0" w:line="21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Dividend</w:t>
      </w:r>
      <w:r>
        <w:rPr>
          <w:rFonts w:ascii="Times New Roman" w:cs="Times New Roman" w:eastAsia="Times New Roman" w:hAnsi="Times New Roman"/>
          <w:sz w:val="19"/>
          <w:szCs w:val="19"/>
          <w:color w:val="auto"/>
        </w:rPr>
        <w:t>”), the Participant shall be entitled to receive, with respect to each RSU granted pursuant to this Agreement and</w:t>
      </w:r>
    </w:p>
    <w:p>
      <w:pPr>
        <w:ind w:left="10" w:right="60"/>
        <w:spacing w:after="0" w:line="226" w:lineRule="auto"/>
        <w:rPr>
          <w:sz w:val="20"/>
          <w:szCs w:val="20"/>
          <w:color w:val="auto"/>
        </w:rPr>
      </w:pPr>
      <w:r>
        <w:rPr>
          <w:rFonts w:ascii="Times New Roman" w:cs="Times New Roman" w:eastAsia="Times New Roman" w:hAnsi="Times New Roman"/>
          <w:sz w:val="19"/>
          <w:szCs w:val="19"/>
          <w:color w:val="auto"/>
        </w:rPr>
        <w:t>outstanding as of the record date for such Dividend, payment of an amount equal to the Dividend at the same time as the Dividend is paid to holders of shares of Class A Common Stock generally.</w:t>
      </w:r>
    </w:p>
    <w:p>
      <w:pPr>
        <w:spacing w:after="0" w:line="180" w:lineRule="exact"/>
        <w:rPr>
          <w:sz w:val="20"/>
          <w:szCs w:val="20"/>
          <w:color w:val="auto"/>
        </w:rPr>
      </w:pPr>
    </w:p>
    <w:p>
      <w:pPr>
        <w:ind w:left="10" w:right="780" w:hanging="9"/>
        <w:spacing w:after="0" w:line="253" w:lineRule="auto"/>
        <w:tabs>
          <w:tab w:leader="none" w:pos="756" w:val="left"/>
        </w:tabs>
        <w:numPr>
          <w:ilvl w:val="0"/>
          <w:numId w:val="2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Termination of Employment or Service. </w:t>
      </w:r>
      <w:r>
        <w:rPr>
          <w:rFonts w:ascii="Times New Roman" w:cs="Times New Roman" w:eastAsia="Times New Roman" w:hAnsi="Times New Roman"/>
          <w:sz w:val="19"/>
          <w:szCs w:val="19"/>
          <w:color w:val="auto"/>
        </w:rPr>
        <w:t>If the Participant’s employment or service with the Company and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Affiliates terminates for any reason, any unearned and unvested RSUs shall be</w:t>
      </w:r>
    </w:p>
    <w:p>
      <w:pPr>
        <w:sectPr>
          <w:pgSz w:w="11900" w:h="16838" w:orient="portrait"/>
          <w:cols w:equalWidth="0" w:num="1">
            <w:col w:w="10070"/>
          </w:cols>
          <w:pgMar w:left="830" w:top="1348" w:right="999" w:bottom="1440" w:gutter="0" w:footer="0" w:header="0"/>
        </w:sectPr>
      </w:pPr>
    </w:p>
    <w:bookmarkStart w:id="75" w:name="page76"/>
    <w:bookmarkEnd w:id="75"/>
    <w:p>
      <w:pPr>
        <w:spacing w:after="0" w:line="14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color w:val="auto"/>
        </w:rPr>
        <w:t>accelerated, remain eligible to be earned or cancelled in accordance with the terms of the Employment Agreement.</w:t>
      </w:r>
    </w:p>
    <w:p>
      <w:pPr>
        <w:spacing w:after="0" w:line="212" w:lineRule="exact"/>
        <w:rPr>
          <w:sz w:val="20"/>
          <w:szCs w:val="20"/>
          <w:color w:val="auto"/>
        </w:rPr>
      </w:pPr>
    </w:p>
    <w:p>
      <w:pPr>
        <w:ind w:left="10" w:hanging="9"/>
        <w:spacing w:after="0" w:line="223" w:lineRule="auto"/>
        <w:tabs>
          <w:tab w:leader="none" w:pos="756" w:val="left"/>
        </w:tabs>
        <w:numPr>
          <w:ilvl w:val="0"/>
          <w:numId w:val="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Rights as a Stockholder. </w:t>
      </w:r>
      <w:r>
        <w:rPr>
          <w:rFonts w:ascii="Times New Roman" w:cs="Times New Roman" w:eastAsia="Times New Roman" w:hAnsi="Times New Roman"/>
          <w:sz w:val="19"/>
          <w:szCs w:val="19"/>
          <w:color w:val="auto"/>
        </w:rPr>
        <w:t>The Participant shall not be deemed for any purpose to be the owner of any shares of Class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Common Stock underlying the RSUs unless, until and to the extent that (i) the Company shall have issued and delivered to the Participant the shares of Class A Common Stock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83" w:lineRule="exact"/>
        <w:rPr>
          <w:rFonts w:ascii="Times New Roman" w:cs="Times New Roman" w:eastAsia="Times New Roman" w:hAnsi="Times New Roman"/>
          <w:sz w:val="19"/>
          <w:szCs w:val="19"/>
          <w:b w:val="1"/>
          <w:bCs w:val="1"/>
          <w:color w:val="auto"/>
        </w:rPr>
      </w:pPr>
    </w:p>
    <w:p>
      <w:pPr>
        <w:ind w:left="630" w:hanging="630"/>
        <w:spacing w:after="0"/>
        <w:tabs>
          <w:tab w:leader="none" w:pos="630" w:val="left"/>
        </w:tabs>
        <w:numPr>
          <w:ilvl w:val="0"/>
          <w:numId w:val="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Compliance with Legal Requirements.</w:t>
      </w:r>
    </w:p>
    <w:p>
      <w:pPr>
        <w:spacing w:after="0" w:line="215" w:lineRule="exact"/>
        <w:rPr>
          <w:rFonts w:ascii="Times New Roman" w:cs="Times New Roman" w:eastAsia="Times New Roman" w:hAnsi="Times New Roman"/>
          <w:sz w:val="19"/>
          <w:szCs w:val="19"/>
          <w:b w:val="1"/>
          <w:bCs w:val="1"/>
          <w:color w:val="auto"/>
        </w:rPr>
      </w:pPr>
    </w:p>
    <w:p>
      <w:pPr>
        <w:ind w:left="10" w:right="100" w:firstLine="619"/>
        <w:spacing w:after="0" w:line="222" w:lineRule="auto"/>
        <w:tabs>
          <w:tab w:leader="none" w:pos="1387"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Generally</w:t>
      </w:r>
      <w:r>
        <w:rPr>
          <w:rFonts w:ascii="Times New Roman" w:cs="Times New Roman" w:eastAsia="Times New Roman" w:hAnsi="Times New Roman"/>
          <w:sz w:val="19"/>
          <w:szCs w:val="19"/>
          <w:color w:val="auto"/>
        </w:rPr>
        <w:t>.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94" w:lineRule="exact"/>
        <w:rPr>
          <w:rFonts w:ascii="Times New Roman" w:cs="Times New Roman" w:eastAsia="Times New Roman" w:hAnsi="Times New Roman"/>
          <w:sz w:val="19"/>
          <w:szCs w:val="19"/>
          <w:color w:val="auto"/>
        </w:rPr>
      </w:pPr>
    </w:p>
    <w:p>
      <w:pPr>
        <w:ind w:left="10" w:right="220" w:firstLine="619"/>
        <w:spacing w:after="0" w:line="220" w:lineRule="auto"/>
        <w:tabs>
          <w:tab w:leader="none" w:pos="1385"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Taxes and Withholding</w:t>
      </w:r>
      <w:r>
        <w:rPr>
          <w:rFonts w:ascii="Times New Roman" w:cs="Times New Roman" w:eastAsia="Times New Roman" w:hAnsi="Times New Roman"/>
          <w:sz w:val="19"/>
          <w:szCs w:val="19"/>
          <w:color w:val="auto"/>
        </w:rPr>
        <w:t>. The vesting and settlement of the RSUs shall be subject to the Participant satisfying any applicable U.S. federal, state and local tax withholding obligations and non-</w:t>
      </w:r>
    </w:p>
    <w:p>
      <w:pPr>
        <w:spacing w:after="0" w:line="1" w:lineRule="exact"/>
        <w:rPr>
          <w:rFonts w:ascii="Times New Roman" w:cs="Times New Roman" w:eastAsia="Times New Roman" w:hAnsi="Times New Roman"/>
          <w:sz w:val="19"/>
          <w:szCs w:val="19"/>
          <w:color w:val="auto"/>
        </w:rPr>
      </w:pPr>
    </w:p>
    <w:p>
      <w:pPr>
        <w:ind w:left="10"/>
        <w:spacing w:after="0" w:line="21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that would otherwise be deliverable to the Participant upon settlement of the RSUs with a Fair Market Value equal to such withholding liability.</w:t>
      </w:r>
    </w:p>
    <w:p>
      <w:pPr>
        <w:spacing w:after="0" w:line="171" w:lineRule="exact"/>
        <w:rPr>
          <w:rFonts w:ascii="Times New Roman" w:cs="Times New Roman" w:eastAsia="Times New Roman" w:hAnsi="Times New Roman"/>
          <w:sz w:val="19"/>
          <w:szCs w:val="19"/>
          <w:color w:val="auto"/>
        </w:rPr>
      </w:pPr>
    </w:p>
    <w:p>
      <w:pPr>
        <w:ind w:left="630" w:hanging="630"/>
        <w:spacing w:after="0"/>
        <w:tabs>
          <w:tab w:leader="none" w:pos="630" w:val="left"/>
        </w:tabs>
        <w:numPr>
          <w:ilvl w:val="0"/>
          <w:numId w:val="2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Restrictive Covenants.</w:t>
      </w:r>
    </w:p>
    <w:p>
      <w:pPr>
        <w:spacing w:after="0" w:line="215" w:lineRule="exact"/>
        <w:rPr>
          <w:rFonts w:ascii="Times New Roman" w:cs="Times New Roman" w:eastAsia="Times New Roman" w:hAnsi="Times New Roman"/>
          <w:sz w:val="19"/>
          <w:szCs w:val="19"/>
          <w:b w:val="1"/>
          <w:bCs w:val="1"/>
          <w:color w:val="auto"/>
        </w:rPr>
      </w:pPr>
    </w:p>
    <w:p>
      <w:pPr>
        <w:ind w:left="1370" w:hanging="741"/>
        <w:spacing w:after="0"/>
        <w:tabs>
          <w:tab w:leader="none" w:pos="1370"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acknowledges and agrees that the Participant remains bound by the confidentiality and</w:t>
      </w:r>
    </w:p>
    <w:p>
      <w:pPr>
        <w:ind w:left="10" w:right="260"/>
        <w:spacing w:after="0" w:line="233" w:lineRule="auto"/>
        <w:rPr>
          <w:sz w:val="20"/>
          <w:szCs w:val="20"/>
          <w:color w:val="auto"/>
        </w:rPr>
      </w:pPr>
      <w:r>
        <w:rPr>
          <w:rFonts w:ascii="Times New Roman" w:cs="Times New Roman" w:eastAsia="Times New Roman" w:hAnsi="Times New Roman"/>
          <w:sz w:val="19"/>
          <w:szCs w:val="19"/>
          <w:color w:val="auto"/>
        </w:rPr>
        <w:t>restrictive covenant provisions set forth in Sections 9.04 and 12.11 of the Third Amended and Restated Limited Liability Company Agreement of Virtu Financial, LLC, dated as of the Date of Grant (or any successor provisions) as a “Member” thereof.</w:t>
      </w:r>
    </w:p>
    <w:p>
      <w:pPr>
        <w:spacing w:after="0" w:line="183" w:lineRule="exact"/>
        <w:rPr>
          <w:sz w:val="20"/>
          <w:szCs w:val="20"/>
          <w:color w:val="auto"/>
        </w:rPr>
      </w:pPr>
    </w:p>
    <w:p>
      <w:pPr>
        <w:ind w:left="10" w:right="100" w:firstLine="619"/>
        <w:spacing w:after="0" w:line="221" w:lineRule="auto"/>
        <w:tabs>
          <w:tab w:leader="none" w:pos="1385"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the Participant violates any of the restrictive covenants referred to in this Section 7,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79" w:lineRule="exact"/>
        <w:rPr>
          <w:rFonts w:ascii="Times New Roman" w:cs="Times New Roman" w:eastAsia="Times New Roman" w:hAnsi="Times New Roman"/>
          <w:sz w:val="19"/>
          <w:szCs w:val="19"/>
          <w:color w:val="auto"/>
        </w:rPr>
      </w:pPr>
    </w:p>
    <w:p>
      <w:pPr>
        <w:ind w:left="630" w:hanging="630"/>
        <w:spacing w:after="0"/>
        <w:tabs>
          <w:tab w:leader="none" w:pos="630" w:val="left"/>
        </w:tabs>
        <w:numPr>
          <w:ilvl w:val="0"/>
          <w:numId w:val="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Miscellaneous.</w:t>
      </w:r>
    </w:p>
    <w:p>
      <w:pPr>
        <w:sectPr>
          <w:pgSz w:w="11900" w:h="16838" w:orient="portrait"/>
          <w:cols w:equalWidth="0" w:num="1">
            <w:col w:w="10230"/>
          </w:cols>
          <w:pgMar w:left="830" w:top="1440" w:right="839" w:bottom="1440" w:gutter="0" w:footer="0" w:header="0"/>
        </w:sectPr>
      </w:pPr>
    </w:p>
    <w:bookmarkStart w:id="76" w:name="page77"/>
    <w:bookmarkEnd w:id="76"/>
    <w:p>
      <w:pPr>
        <w:spacing w:after="0" w:line="144" w:lineRule="exact"/>
        <w:rPr>
          <w:sz w:val="20"/>
          <w:szCs w:val="20"/>
          <w:color w:val="auto"/>
        </w:rPr>
      </w:pPr>
    </w:p>
    <w:p>
      <w:pPr>
        <w:ind w:right="60" w:firstLine="619"/>
        <w:spacing w:after="0" w:line="224" w:lineRule="auto"/>
        <w:tabs>
          <w:tab w:leader="none" w:pos="1378"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Transferability</w:t>
      </w:r>
      <w:r>
        <w:rPr>
          <w:rFonts w:ascii="Times New Roman" w:cs="Times New Roman" w:eastAsia="Times New Roman" w:hAnsi="Times New Roman"/>
          <w:sz w:val="19"/>
          <w:szCs w:val="19"/>
          <w:color w:val="auto"/>
        </w:rPr>
        <w:t>. The RSUs may not be assigned, alienated, pledged, attached, sold or otherwise transferred or encumbered (a “</w:t>
      </w:r>
      <w:r>
        <w:rPr>
          <w:rFonts w:ascii="Times New Roman" w:cs="Times New Roman" w:eastAsia="Times New Roman" w:hAnsi="Times New Roman"/>
          <w:sz w:val="19"/>
          <w:szCs w:val="19"/>
          <w:u w:val="single" w:color="auto"/>
          <w:color w:val="auto"/>
        </w:rPr>
        <w:t>Transfer</w:t>
      </w:r>
      <w:r>
        <w:rPr>
          <w:rFonts w:ascii="Times New Roman" w:cs="Times New Roman" w:eastAsia="Times New Roman" w:hAnsi="Times New Roman"/>
          <w:sz w:val="19"/>
          <w:szCs w:val="19"/>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185" w:lineRule="exact"/>
        <w:rPr>
          <w:rFonts w:ascii="Times New Roman" w:cs="Times New Roman" w:eastAsia="Times New Roman" w:hAnsi="Times New Roman"/>
          <w:sz w:val="19"/>
          <w:szCs w:val="19"/>
          <w:color w:val="auto"/>
        </w:rPr>
      </w:pPr>
    </w:p>
    <w:p>
      <w:pPr>
        <w:ind w:right="40" w:firstLine="619"/>
        <w:spacing w:after="0" w:line="227" w:lineRule="auto"/>
        <w:tabs>
          <w:tab w:leader="none" w:pos="1375"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82" w:lineRule="exact"/>
        <w:rPr>
          <w:rFonts w:ascii="Times New Roman" w:cs="Times New Roman" w:eastAsia="Times New Roman" w:hAnsi="Times New Roman"/>
          <w:sz w:val="19"/>
          <w:szCs w:val="19"/>
          <w:color w:val="auto"/>
        </w:rPr>
      </w:pPr>
    </w:p>
    <w:p>
      <w:pPr>
        <w:ind w:left="1240" w:hanging="621"/>
        <w:spacing w:after="0"/>
        <w:tabs>
          <w:tab w:leader="none" w:pos="124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The RSUs are intended to be exempt from, or compliant with,</w:t>
      </w:r>
    </w:p>
    <w:p>
      <w:pPr>
        <w:spacing w:after="0" w:line="215" w:lineRule="auto"/>
        <w:rPr>
          <w:sz w:val="20"/>
          <w:szCs w:val="20"/>
          <w:color w:val="auto"/>
        </w:rPr>
      </w:pPr>
      <w:r>
        <w:rPr>
          <w:rFonts w:ascii="Times New Roman" w:cs="Times New Roman" w:eastAsia="Times New Roman" w:hAnsi="Times New Roman"/>
          <w:sz w:val="19"/>
          <w:szCs w:val="19"/>
          <w:color w:val="auto"/>
        </w:rPr>
        <w:t>Section 409A of the Code. Notwithstanding the foregoing or any provision of the Plan or this Agreement, if any provision of the</w:t>
      </w:r>
    </w:p>
    <w:p>
      <w:pPr>
        <w:spacing w:after="0" w:line="1"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9"/>
          <w:szCs w:val="19"/>
          <w:color w:val="auto"/>
        </w:rPr>
        <w:t>Plan or this Agreement contravenes Section 409A of the Code or could cause the Participant to incur any tax, interest or penalties under Section 409A of the Code, the Committee may, in its sole discretion and without the Participant’s consent, modify such</w:t>
      </w:r>
    </w:p>
    <w:p>
      <w:pPr>
        <w:spacing w:after="0" w:line="217" w:lineRule="auto"/>
        <w:rPr>
          <w:sz w:val="20"/>
          <w:szCs w:val="20"/>
          <w:color w:val="auto"/>
        </w:rPr>
      </w:pPr>
      <w:r>
        <w:rPr>
          <w:rFonts w:ascii="Times New Roman" w:cs="Times New Roman" w:eastAsia="Times New Roman" w:hAnsi="Times New Roman"/>
          <w:sz w:val="19"/>
          <w:szCs w:val="19"/>
          <w:color w:val="auto"/>
        </w:rPr>
        <w:t>provision to (i) comply with, or avoid being subject to, Section 409A of the Code, or to avoid the incurrence of taxes, interest and</w:t>
      </w:r>
    </w:p>
    <w:p>
      <w:pPr>
        <w:spacing w:after="0" w:line="208" w:lineRule="auto"/>
        <w:rPr>
          <w:sz w:val="20"/>
          <w:szCs w:val="20"/>
          <w:color w:val="auto"/>
        </w:rPr>
      </w:pPr>
      <w:r>
        <w:rPr>
          <w:rFonts w:ascii="Times New Roman" w:cs="Times New Roman" w:eastAsia="Times New Roman" w:hAnsi="Times New Roman"/>
          <w:sz w:val="19"/>
          <w:szCs w:val="19"/>
          <w:color w:val="auto"/>
        </w:rPr>
        <w:t>penalties under Section 409A of the Code, and/or (ii) maintain, to the maximum extent practicable, the original intent and economic benefit to the Participant of the applicable provision without materially increasing the cost to the Company or contravening the</w:t>
      </w:r>
    </w:p>
    <w:p>
      <w:pPr>
        <w:spacing w:after="0" w:line="1"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19"/>
          <w:szCs w:val="19"/>
          <w:color w:val="auto"/>
        </w:rPr>
        <w:t>provisions of Section 409A of the Code. This Section 8(c) does not create an obligation on the part of the Company to modify the Plan or this Agreement and does not guarantee that the RSUs will not be subject to interest and penalties under Section 409A.</w:t>
      </w:r>
    </w:p>
    <w:p>
      <w:pPr>
        <w:spacing w:after="0" w:line="183" w:lineRule="exact"/>
        <w:rPr>
          <w:sz w:val="20"/>
          <w:szCs w:val="20"/>
          <w:color w:val="auto"/>
        </w:rPr>
      </w:pPr>
    </w:p>
    <w:p>
      <w:pPr>
        <w:ind w:firstLine="619"/>
        <w:spacing w:after="0" w:line="231" w:lineRule="auto"/>
        <w:tabs>
          <w:tab w:leader="none" w:pos="1375"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 Assets</w:t>
      </w:r>
      <w:r>
        <w:rPr>
          <w:rFonts w:ascii="Times New Roman" w:cs="Times New Roman" w:eastAsia="Times New Roman" w:hAnsi="Times New Roman"/>
          <w:sz w:val="19"/>
          <w:szCs w:val="19"/>
          <w:color w:val="auto"/>
        </w:rPr>
        <w:t>. All amounts credited in respect of the RSUs to the book-entry account under this Agreement shall continue for all purposes to be part of the general assets of the Company. The Executive’s interest in such account shall make the Executive only a general, unsecured creditor of the Company.</w:t>
      </w:r>
    </w:p>
    <w:p>
      <w:pPr>
        <w:spacing w:after="0" w:line="194" w:lineRule="exact"/>
        <w:rPr>
          <w:rFonts w:ascii="Times New Roman" w:cs="Times New Roman" w:eastAsia="Times New Roman" w:hAnsi="Times New Roman"/>
          <w:sz w:val="19"/>
          <w:szCs w:val="19"/>
          <w:color w:val="auto"/>
        </w:rPr>
      </w:pPr>
    </w:p>
    <w:p>
      <w:pPr>
        <w:ind w:right="80" w:firstLine="619"/>
        <w:spacing w:after="0" w:line="222" w:lineRule="auto"/>
        <w:tabs>
          <w:tab w:leader="none" w:pos="1378"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94" w:lineRule="exact"/>
        <w:rPr>
          <w:rFonts w:ascii="Times New Roman" w:cs="Times New Roman" w:eastAsia="Times New Roman" w:hAnsi="Times New Roman"/>
          <w:sz w:val="19"/>
          <w:szCs w:val="19"/>
          <w:color w:val="auto"/>
        </w:rPr>
      </w:pPr>
    </w:p>
    <w:p>
      <w:pPr>
        <w:ind w:right="100" w:firstLine="619"/>
        <w:spacing w:after="0" w:line="231" w:lineRule="auto"/>
        <w:tabs>
          <w:tab w:leader="none" w:pos="137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81" w:lineRule="exact"/>
        <w:rPr>
          <w:rFonts w:ascii="Times New Roman" w:cs="Times New Roman" w:eastAsia="Times New Roman" w:hAnsi="Times New Roman"/>
          <w:sz w:val="19"/>
          <w:szCs w:val="19"/>
          <w:color w:val="auto"/>
        </w:rPr>
      </w:pPr>
    </w:p>
    <w:p>
      <w:pPr>
        <w:ind w:right="120" w:firstLine="619"/>
        <w:spacing w:after="0" w:line="227" w:lineRule="auto"/>
        <w:tabs>
          <w:tab w:leader="none" w:pos="1375"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Rights to Employment or Service</w:t>
      </w:r>
      <w:r>
        <w:rPr>
          <w:rFonts w:ascii="Times New Roman" w:cs="Times New Roman" w:eastAsia="Times New Roman" w:hAnsi="Times New Roman"/>
          <w:sz w:val="19"/>
          <w:szCs w:val="19"/>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82" w:lineRule="exact"/>
        <w:rPr>
          <w:rFonts w:ascii="Times New Roman" w:cs="Times New Roman" w:eastAsia="Times New Roman" w:hAnsi="Times New Roman"/>
          <w:sz w:val="19"/>
          <w:szCs w:val="19"/>
          <w:color w:val="auto"/>
        </w:rPr>
      </w:pPr>
    </w:p>
    <w:p>
      <w:pPr>
        <w:ind w:right="120" w:firstLine="619"/>
        <w:spacing w:after="0" w:line="238" w:lineRule="auto"/>
        <w:tabs>
          <w:tab w:leader="none" w:pos="1375"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Fractional Shares</w:t>
      </w:r>
      <w:r>
        <w:rPr>
          <w:rFonts w:ascii="Times New Roman" w:cs="Times New Roman" w:eastAsia="Times New Roman" w:hAnsi="Times New Roman"/>
          <w:sz w:val="19"/>
          <w:szCs w:val="19"/>
          <w:color w:val="auto"/>
        </w:rPr>
        <w:t>. In lieu of issuing a fraction of a share of Class A Common Stock resulting from adjustment of the RSUs pursuant to Section 12 of the Plan or otherwise, the Company shall</w:t>
      </w:r>
    </w:p>
    <w:p>
      <w:pPr>
        <w:sectPr>
          <w:pgSz w:w="11900" w:h="16838" w:orient="portrait"/>
          <w:cols w:equalWidth="0" w:num="1">
            <w:col w:w="10140"/>
          </w:cols>
          <w:pgMar w:left="840" w:top="1440" w:right="919" w:bottom="1440" w:gutter="0" w:footer="0" w:header="0"/>
        </w:sectPr>
      </w:pPr>
    </w:p>
    <w:bookmarkStart w:id="77" w:name="page78"/>
    <w:bookmarkEnd w:id="77"/>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 entitled to pay to the Participant an amount in cash equal to the Fair Market Value of such fractional share.</w:t>
      </w:r>
    </w:p>
    <w:p>
      <w:pPr>
        <w:spacing w:after="0" w:line="214" w:lineRule="exact"/>
        <w:rPr>
          <w:sz w:val="20"/>
          <w:szCs w:val="20"/>
          <w:color w:val="auto"/>
        </w:rPr>
      </w:pPr>
    </w:p>
    <w:p>
      <w:pPr>
        <w:ind w:right="240" w:firstLine="619"/>
        <w:spacing w:after="0" w:line="251" w:lineRule="auto"/>
        <w:tabs>
          <w:tab w:leader="none" w:pos="1372"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Beneficiary</w:t>
      </w:r>
      <w:r>
        <w:rPr>
          <w:rFonts w:ascii="Times New Roman" w:cs="Times New Roman" w:eastAsia="Times New Roman" w:hAnsi="Times New Roman"/>
          <w:sz w:val="19"/>
          <w:szCs w:val="19"/>
          <w:color w:val="auto"/>
        </w:rPr>
        <w:t>. The Participant may file with the Committee a written designation of a beneficiary on such form as may be prescribed by the Committee and may, from time to time, amend or revoke such designation.</w:t>
      </w:r>
    </w:p>
    <w:p>
      <w:pPr>
        <w:spacing w:after="0" w:line="171" w:lineRule="exact"/>
        <w:rPr>
          <w:rFonts w:ascii="Times New Roman" w:cs="Times New Roman" w:eastAsia="Times New Roman" w:hAnsi="Times New Roman"/>
          <w:sz w:val="19"/>
          <w:szCs w:val="19"/>
          <w:color w:val="auto"/>
        </w:rPr>
      </w:pPr>
    </w:p>
    <w:p>
      <w:pPr>
        <w:ind w:firstLine="619"/>
        <w:spacing w:after="0" w:line="251" w:lineRule="auto"/>
        <w:tabs>
          <w:tab w:leader="none" w:pos="1372"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w:t>
      </w:r>
      <w:r>
        <w:rPr>
          <w:rFonts w:ascii="Times New Roman" w:cs="Times New Roman" w:eastAsia="Times New Roman" w:hAnsi="Times New Roman"/>
          <w:sz w:val="19"/>
          <w:szCs w:val="19"/>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71" w:lineRule="exact"/>
        <w:rPr>
          <w:rFonts w:ascii="Times New Roman" w:cs="Times New Roman" w:eastAsia="Times New Roman" w:hAnsi="Times New Roman"/>
          <w:sz w:val="19"/>
          <w:szCs w:val="19"/>
          <w:color w:val="auto"/>
        </w:rPr>
      </w:pPr>
    </w:p>
    <w:p>
      <w:pPr>
        <w:ind w:right="140" w:firstLine="619"/>
        <w:spacing w:after="0" w:line="224" w:lineRule="auto"/>
        <w:tabs>
          <w:tab w:leader="none" w:pos="1375"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7 hereof. No change, modification or waiver of any provision of this Agreement shall be valid unless the same be in writing and signed by the parties hereto, except for any changes permitted without consent under Section 12 or 14 of the Plan. Furthermore, this Agreement hereby rescinds and supersedes the 2021 Restricted Stock Award.</w:t>
      </w:r>
    </w:p>
    <w:p>
      <w:pPr>
        <w:spacing w:after="0" w:line="185" w:lineRule="exact"/>
        <w:rPr>
          <w:rFonts w:ascii="Times New Roman" w:cs="Times New Roman" w:eastAsia="Times New Roman" w:hAnsi="Times New Roman"/>
          <w:sz w:val="19"/>
          <w:szCs w:val="19"/>
          <w:color w:val="auto"/>
        </w:rPr>
      </w:pPr>
    </w:p>
    <w:p>
      <w:pPr>
        <w:ind w:right="20" w:firstLine="619"/>
        <w:spacing w:after="0" w:line="231" w:lineRule="auto"/>
        <w:tabs>
          <w:tab w:leader="none" w:pos="1372"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and Venue</w:t>
      </w:r>
      <w:r>
        <w:rPr>
          <w:rFonts w:ascii="Times New Roman" w:cs="Times New Roman" w:eastAsia="Times New Roman" w:hAnsi="Times New Roman"/>
          <w:sz w:val="19"/>
          <w:szCs w:val="19"/>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81" w:lineRule="exact"/>
        <w:rPr>
          <w:rFonts w:ascii="Times New Roman" w:cs="Times New Roman" w:eastAsia="Times New Roman" w:hAnsi="Times New Roman"/>
          <w:sz w:val="19"/>
          <w:szCs w:val="19"/>
          <w:color w:val="auto"/>
        </w:rPr>
      </w:pPr>
    </w:p>
    <w:p>
      <w:pPr>
        <w:ind w:left="620" w:firstLine="629"/>
        <w:spacing w:after="0" w:line="217" w:lineRule="auto"/>
        <w:tabs>
          <w:tab w:leader="none" w:pos="1993" w:val="left"/>
        </w:tabs>
        <w:numPr>
          <w:ilvl w:val="2"/>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Dispute Resolution; Consent to Jurisdiction</w:t>
      </w:r>
      <w:r>
        <w:rPr>
          <w:rFonts w:ascii="Times New Roman" w:cs="Times New Roman" w:eastAsia="Times New Roman" w:hAnsi="Times New Roman"/>
          <w:sz w:val="19"/>
          <w:szCs w:val="19"/>
          <w:color w:val="auto"/>
        </w:rPr>
        <w:t>. All disputes between or among any Persons arising out of or in any way connected with the Plan, this Agreement,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98" w:lineRule="exact"/>
        <w:rPr>
          <w:rFonts w:ascii="Times New Roman" w:cs="Times New Roman" w:eastAsia="Times New Roman" w:hAnsi="Times New Roman"/>
          <w:sz w:val="19"/>
          <w:szCs w:val="19"/>
          <w:color w:val="auto"/>
        </w:rPr>
      </w:pPr>
    </w:p>
    <w:p>
      <w:pPr>
        <w:ind w:left="620" w:right="160" w:firstLine="629"/>
        <w:spacing w:after="0" w:line="214" w:lineRule="auto"/>
        <w:tabs>
          <w:tab w:leader="none" w:pos="1994" w:val="left"/>
        </w:tabs>
        <w:numPr>
          <w:ilvl w:val="2"/>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4" w:lineRule="exact"/>
        <w:rPr>
          <w:rFonts w:ascii="Times New Roman" w:cs="Times New Roman" w:eastAsia="Times New Roman" w:hAnsi="Times New Roman"/>
          <w:sz w:val="19"/>
          <w:szCs w:val="19"/>
          <w:color w:val="auto"/>
        </w:rPr>
      </w:pPr>
    </w:p>
    <w:p>
      <w:pPr>
        <w:ind w:left="620" w:right="20"/>
        <w:spacing w:after="0" w:line="226" w:lineRule="auto"/>
        <w:tabs>
          <w:tab w:leader="none" w:pos="924"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acknowledges that it and the other parties hereto have been induced to enter into this Agreement by, among other things, the mutual waivers and certifications in this section.</w:t>
      </w:r>
    </w:p>
    <w:p>
      <w:pPr>
        <w:spacing w:after="0" w:line="195" w:lineRule="exact"/>
        <w:rPr>
          <w:rFonts w:ascii="Times New Roman" w:cs="Times New Roman" w:eastAsia="Times New Roman" w:hAnsi="Times New Roman"/>
          <w:sz w:val="19"/>
          <w:szCs w:val="19"/>
          <w:color w:val="auto"/>
        </w:rPr>
      </w:pPr>
    </w:p>
    <w:p>
      <w:pPr>
        <w:ind w:right="20" w:firstLine="619"/>
        <w:spacing w:after="0" w:line="231" w:lineRule="auto"/>
        <w:tabs>
          <w:tab w:leader="none" w:pos="1376"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 Gender</w:t>
      </w:r>
      <w:r>
        <w:rPr>
          <w:rFonts w:ascii="Times New Roman" w:cs="Times New Roman" w:eastAsia="Times New Roman" w:hAnsi="Times New Roman"/>
          <w:sz w:val="19"/>
          <w:szCs w:val="19"/>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ectPr>
          <w:pgSz w:w="11900" w:h="16838" w:orient="portrait"/>
          <w:cols w:equalWidth="0" w:num="1">
            <w:col w:w="10200"/>
          </w:cols>
          <w:pgMar w:left="840" w:top="1440" w:right="859" w:bottom="1440" w:gutter="0" w:footer="0" w:header="0"/>
        </w:sectPr>
      </w:pPr>
    </w:p>
    <w:bookmarkStart w:id="78" w:name="page79"/>
    <w:bookmarkEnd w:id="78"/>
    <w:p>
      <w:pPr>
        <w:ind w:firstLine="619"/>
        <w:spacing w:after="0" w:line="227" w:lineRule="auto"/>
        <w:tabs>
          <w:tab w:leader="none" w:pos="1378"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82" w:lineRule="exact"/>
        <w:rPr>
          <w:rFonts w:ascii="Times New Roman" w:cs="Times New Roman" w:eastAsia="Times New Roman" w:hAnsi="Times New Roman"/>
          <w:sz w:val="19"/>
          <w:szCs w:val="19"/>
          <w:color w:val="auto"/>
        </w:rPr>
      </w:pPr>
    </w:p>
    <w:p>
      <w:pPr>
        <w:ind w:right="260" w:firstLine="619"/>
        <w:spacing w:after="0" w:line="224" w:lineRule="auto"/>
        <w:tabs>
          <w:tab w:leader="none" w:pos="1375"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Signature and Delivery</w:t>
      </w:r>
      <w:r>
        <w:rPr>
          <w:rFonts w:ascii="Times New Roman" w:cs="Times New Roman" w:eastAsia="Times New Roman" w:hAnsi="Times New Roman"/>
          <w:sz w:val="19"/>
          <w:szCs w:val="19"/>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85" w:lineRule="exact"/>
        <w:rPr>
          <w:rFonts w:ascii="Times New Roman" w:cs="Times New Roman" w:eastAsia="Times New Roman" w:hAnsi="Times New Roman"/>
          <w:sz w:val="19"/>
          <w:szCs w:val="19"/>
          <w:color w:val="auto"/>
        </w:rPr>
      </w:pPr>
    </w:p>
    <w:p>
      <w:pPr>
        <w:ind w:left="1360" w:hanging="741"/>
        <w:spacing w:after="0"/>
        <w:tabs>
          <w:tab w:leader="none" w:pos="136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Participation in Plan</w:t>
      </w:r>
      <w:r>
        <w:rPr>
          <w:rFonts w:ascii="Times New Roman" w:cs="Times New Roman" w:eastAsia="Times New Roman" w:hAnsi="Times New Roman"/>
          <w:sz w:val="19"/>
          <w:szCs w:val="19"/>
          <w:color w:val="auto"/>
        </w:rPr>
        <w:t>. The Company may, in its sole discretion, decide to deliver any documents</w:t>
      </w:r>
    </w:p>
    <w:p>
      <w:pPr>
        <w:ind w:right="580"/>
        <w:spacing w:after="0" w:line="208" w:lineRule="auto"/>
        <w:rPr>
          <w:sz w:val="20"/>
          <w:szCs w:val="20"/>
          <w:color w:val="auto"/>
        </w:rPr>
      </w:pPr>
      <w:r>
        <w:rPr>
          <w:rFonts w:ascii="Times New Roman" w:cs="Times New Roman" w:eastAsia="Times New Roman" w:hAnsi="Times New Roman"/>
          <w:sz w:val="19"/>
          <w:szCs w:val="19"/>
          <w:color w:val="auto"/>
        </w:rPr>
        <w:t>related to current or future participation in the Plan by electronic means. The Participant hereby consents to receive such documents by electronic delivery and agrees to participate in the Plan through an on-line or electronic system established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remainder of page intentionally left blank</w:t>
      </w:r>
      <w:r>
        <w:rPr>
          <w:rFonts w:ascii="Times New Roman" w:cs="Times New Roman" w:eastAsia="Times New Roman" w:hAnsi="Times New Roman"/>
          <w:sz w:val="19"/>
          <w:szCs w:val="19"/>
          <w:color w:val="auto"/>
        </w:rPr>
        <w:t>]</w:t>
      </w:r>
    </w:p>
    <w:p>
      <w:pPr>
        <w:sectPr>
          <w:pgSz w:w="11900" w:h="16838" w:orient="portrait"/>
          <w:cols w:equalWidth="0" w:num="1">
            <w:col w:w="10200"/>
          </w:cols>
          <w:pgMar w:left="840" w:top="1426" w:right="8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9"/>
          <w:szCs w:val="19"/>
          <w:color w:val="auto"/>
        </w:rPr>
        <w:t>IN WITNESS WHEREOF, this Agreement has been executed by the Company and the Participant as of the day first written above.</w:t>
      </w:r>
    </w:p>
    <w:p>
      <w:pPr>
        <w:sectPr>
          <w:pgSz w:w="11900" w:h="16838" w:orient="portrait"/>
          <w:cols w:equalWidth="0" w:num="1">
            <w:col w:w="10100"/>
          </w:cols>
          <w:pgMar w:left="1180" w:top="1361" w:right="619" w:bottom="1440" w:gutter="0" w:footer="0" w:header="0"/>
        </w:sectPr>
      </w:pPr>
    </w:p>
    <w:p>
      <w:pPr>
        <w:spacing w:after="0" w:line="21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9"/>
          <w:szCs w:val="19"/>
          <w:color w:val="auto"/>
        </w:rPr>
        <w:t>VIRTU FINANCIAL, INC.</w:t>
      </w:r>
    </w:p>
    <w:p>
      <w:pPr>
        <w:spacing w:after="0" w:line="38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Robert Greifeld</w:t>
      </w:r>
    </w:p>
    <w:p>
      <w:pPr>
        <w:ind w:left="3540"/>
        <w:spacing w:after="0" w:line="215" w:lineRule="auto"/>
        <w:rPr>
          <w:sz w:val="20"/>
          <w:szCs w:val="20"/>
          <w:color w:val="auto"/>
        </w:rPr>
      </w:pPr>
      <w:r>
        <w:rPr>
          <w:rFonts w:ascii="Times New Roman" w:cs="Times New Roman" w:eastAsia="Times New Roman" w:hAnsi="Times New Roman"/>
          <w:sz w:val="19"/>
          <w:szCs w:val="19"/>
          <w:color w:val="auto"/>
        </w:rPr>
        <w:t>Name: Robert Greifeld</w:t>
      </w:r>
    </w:p>
    <w:p>
      <w:pPr>
        <w:spacing w:after="0" w:line="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9"/>
          <w:szCs w:val="19"/>
          <w:color w:val="auto"/>
        </w:rPr>
        <w:t>Title: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9"/>
          <w:szCs w:val="19"/>
          <w:u w:val="single" w:color="auto"/>
          <w:color w:val="auto"/>
        </w:rPr>
        <w:t>/s/ Douglas A. Cifu</w:t>
      </w:r>
    </w:p>
    <w:p>
      <w:pPr>
        <w:ind w:left="3540"/>
        <w:spacing w:after="0"/>
        <w:rPr>
          <w:sz w:val="20"/>
          <w:szCs w:val="20"/>
          <w:color w:val="auto"/>
        </w:rPr>
      </w:pPr>
      <w:r>
        <w:rPr>
          <w:rFonts w:ascii="Times New Roman" w:cs="Times New Roman" w:eastAsia="Times New Roman" w:hAnsi="Times New Roman"/>
          <w:sz w:val="19"/>
          <w:szCs w:val="19"/>
          <w:color w:val="auto"/>
        </w:rPr>
        <w:t>Douglas A. Cifu</w:t>
      </w:r>
    </w:p>
    <w:p>
      <w:pPr>
        <w:sectPr>
          <w:pgSz w:w="11900" w:h="16838" w:orient="portrait"/>
          <w:cols w:equalWidth="0" w:num="1">
            <w:col w:w="10100"/>
          </w:cols>
          <w:pgMar w:left="1180" w:top="1361" w:right="619" w:bottom="1440" w:gutter="0" w:footer="0" w:header="0"/>
          <w:type w:val="continuous"/>
        </w:sectPr>
      </w:pPr>
    </w:p>
    <w:bookmarkStart w:id="80" w:name="page81"/>
    <w:bookmarkEnd w:id="8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CEO CERTIFICATION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302 OF THE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SARBANES — 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Douglas A. Cifu, certify that:</w:t>
      </w:r>
    </w:p>
    <w:p>
      <w:pPr>
        <w:spacing w:after="0" w:line="250" w:lineRule="exact"/>
        <w:rPr>
          <w:sz w:val="20"/>
          <w:szCs w:val="20"/>
          <w:color w:val="auto"/>
        </w:rPr>
      </w:pPr>
    </w:p>
    <w:p>
      <w:pPr>
        <w:ind w:left="640" w:right="220" w:hanging="321"/>
        <w:spacing w:after="0" w:line="296" w:lineRule="auto"/>
        <w:tabs>
          <w:tab w:leader="none" w:pos="6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period ending March 31, 2022 of Virtu Financial, Inc. (the “registrant”) as filed with the Securities and Exchange Commission on the date hereof;</w:t>
      </w:r>
    </w:p>
    <w:p>
      <w:pPr>
        <w:spacing w:after="0" w:line="172" w:lineRule="exact"/>
        <w:rPr>
          <w:rFonts w:ascii="Times New Roman" w:cs="Times New Roman" w:eastAsia="Times New Roman" w:hAnsi="Times New Roman"/>
          <w:sz w:val="17"/>
          <w:szCs w:val="17"/>
          <w:color w:val="auto"/>
        </w:rPr>
      </w:pPr>
    </w:p>
    <w:p>
      <w:pPr>
        <w:jc w:val="both"/>
        <w:ind w:left="640" w:right="460" w:hanging="321"/>
        <w:spacing w:after="0" w:line="276" w:lineRule="auto"/>
        <w:tabs>
          <w:tab w:leader="none" w:pos="6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7"/>
          <w:szCs w:val="17"/>
          <w:color w:val="auto"/>
        </w:rPr>
      </w:pPr>
    </w:p>
    <w:p>
      <w:pPr>
        <w:ind w:left="640" w:right="420" w:hanging="321"/>
        <w:spacing w:after="0" w:line="296" w:lineRule="auto"/>
        <w:tabs>
          <w:tab w:leader="none" w:pos="6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ind w:left="640" w:right="40" w:hanging="321"/>
        <w:spacing w:after="0" w:line="276" w:lineRule="auto"/>
        <w:tabs>
          <w:tab w:leader="none" w:pos="6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7"/>
          <w:szCs w:val="17"/>
          <w:color w:val="auto"/>
        </w:rPr>
      </w:pPr>
    </w:p>
    <w:p>
      <w:pPr>
        <w:ind w:left="1100" w:right="240" w:hanging="466"/>
        <w:spacing w:after="0" w:line="276" w:lineRule="auto"/>
        <w:tabs>
          <w:tab w:leader="none" w:pos="109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7"/>
          <w:szCs w:val="17"/>
          <w:color w:val="auto"/>
        </w:rPr>
      </w:pPr>
    </w:p>
    <w:p>
      <w:pPr>
        <w:ind w:left="1100" w:right="540" w:hanging="466"/>
        <w:spacing w:after="0" w:line="276" w:lineRule="auto"/>
        <w:tabs>
          <w:tab w:leader="none" w:pos="1094"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7"/>
          <w:szCs w:val="17"/>
          <w:color w:val="auto"/>
        </w:rPr>
      </w:pPr>
    </w:p>
    <w:p>
      <w:pPr>
        <w:jc w:val="both"/>
        <w:ind w:left="1100" w:right="700" w:hanging="466"/>
        <w:spacing w:after="0" w:line="296" w:lineRule="auto"/>
        <w:tabs>
          <w:tab w:leader="none" w:pos="109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ind w:left="1100" w:right="240" w:hanging="466"/>
        <w:spacing w:after="0" w:line="276" w:lineRule="auto"/>
        <w:tabs>
          <w:tab w:leader="none" w:pos="1094"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7"/>
          <w:szCs w:val="17"/>
          <w:color w:val="auto"/>
        </w:rPr>
      </w:pPr>
    </w:p>
    <w:p>
      <w:pPr>
        <w:ind w:left="640" w:right="340" w:hanging="321"/>
        <w:spacing w:after="0" w:line="296" w:lineRule="auto"/>
        <w:tabs>
          <w:tab w:leader="none" w:pos="6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100" w:right="140" w:hanging="466"/>
        <w:spacing w:after="0" w:line="296" w:lineRule="auto"/>
        <w:tabs>
          <w:tab w:leader="none" w:pos="109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1100" w:right="100" w:hanging="466"/>
        <w:spacing w:after="0" w:line="281" w:lineRule="auto"/>
        <w:tabs>
          <w:tab w:leader="none" w:pos="1094"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Date: May 3, 2022</w:t>
            </w:r>
          </w:p>
        </w:tc>
        <w:tc>
          <w:tcPr>
            <w:tcW w:w="274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By:</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Douglas A. Cifu</w:t>
            </w:r>
          </w:p>
        </w:tc>
      </w:tr>
      <w:tr>
        <w:trPr>
          <w:trHeight w:val="211"/>
        </w:trPr>
        <w:tc>
          <w:tcPr>
            <w:tcW w:w="3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Douglas A. Cifu</w:t>
            </w:r>
          </w:p>
        </w:tc>
      </w:tr>
      <w:tr>
        <w:trPr>
          <w:trHeight w:val="228"/>
        </w:trPr>
        <w:tc>
          <w:tcPr>
            <w:tcW w:w="34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bl>
    <w:p>
      <w:pPr>
        <w:sectPr>
          <w:pgSz w:w="11900" w:h="16838" w:orient="portrait"/>
          <w:cols w:equalWidth="0" w:num="1">
            <w:col w:w="11240"/>
          </w:cols>
          <w:pgMar w:left="320" w:top="865"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CFO CERTIFICATION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302 OF THE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SARBANES — 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Sean Galvin, certify that:</w:t>
      </w:r>
    </w:p>
    <w:p>
      <w:pPr>
        <w:spacing w:after="0" w:line="224" w:lineRule="exact"/>
        <w:rPr>
          <w:sz w:val="20"/>
          <w:szCs w:val="20"/>
          <w:color w:val="auto"/>
        </w:rPr>
      </w:pPr>
    </w:p>
    <w:p>
      <w:pPr>
        <w:ind w:left="640" w:right="220" w:hanging="321"/>
        <w:spacing w:after="0" w:line="296" w:lineRule="auto"/>
        <w:tabs>
          <w:tab w:leader="none" w:pos="6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period ending March 31, 2022 of Virtu Financial, Inc. (the “registrant”) as filed with the Securities and Exchange Commission on the date hereof;</w:t>
      </w:r>
    </w:p>
    <w:p>
      <w:pPr>
        <w:spacing w:after="0" w:line="172" w:lineRule="exact"/>
        <w:rPr>
          <w:rFonts w:ascii="Times New Roman" w:cs="Times New Roman" w:eastAsia="Times New Roman" w:hAnsi="Times New Roman"/>
          <w:sz w:val="17"/>
          <w:szCs w:val="17"/>
          <w:color w:val="auto"/>
        </w:rPr>
      </w:pPr>
    </w:p>
    <w:p>
      <w:pPr>
        <w:jc w:val="both"/>
        <w:ind w:left="640" w:right="460" w:hanging="321"/>
        <w:spacing w:after="0" w:line="276" w:lineRule="auto"/>
        <w:tabs>
          <w:tab w:leader="none" w:pos="6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7"/>
          <w:szCs w:val="17"/>
          <w:color w:val="auto"/>
        </w:rPr>
      </w:pPr>
    </w:p>
    <w:p>
      <w:pPr>
        <w:ind w:left="640" w:right="420" w:hanging="321"/>
        <w:spacing w:after="0" w:line="296" w:lineRule="auto"/>
        <w:tabs>
          <w:tab w:leader="none" w:pos="6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ind w:left="640" w:right="40" w:hanging="321"/>
        <w:spacing w:after="0" w:line="276" w:lineRule="auto"/>
        <w:tabs>
          <w:tab w:leader="none" w:pos="6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7"/>
          <w:szCs w:val="17"/>
          <w:color w:val="auto"/>
        </w:rPr>
      </w:pPr>
    </w:p>
    <w:p>
      <w:pPr>
        <w:ind w:left="1100" w:right="240" w:hanging="466"/>
        <w:spacing w:after="0" w:line="276" w:lineRule="auto"/>
        <w:tabs>
          <w:tab w:leader="none" w:pos="1097"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7"/>
          <w:szCs w:val="17"/>
          <w:color w:val="auto"/>
        </w:rPr>
      </w:pPr>
    </w:p>
    <w:p>
      <w:pPr>
        <w:ind w:left="1100" w:right="540" w:hanging="466"/>
        <w:spacing w:after="0" w:line="276" w:lineRule="auto"/>
        <w:tabs>
          <w:tab w:leader="none" w:pos="1094"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7"/>
          <w:szCs w:val="17"/>
          <w:color w:val="auto"/>
        </w:rPr>
      </w:pPr>
    </w:p>
    <w:p>
      <w:pPr>
        <w:jc w:val="both"/>
        <w:ind w:left="1100" w:right="700" w:hanging="466"/>
        <w:spacing w:after="0" w:line="296" w:lineRule="auto"/>
        <w:tabs>
          <w:tab w:leader="none" w:pos="1097"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ind w:left="1100" w:right="240" w:hanging="466"/>
        <w:spacing w:after="0" w:line="276" w:lineRule="auto"/>
        <w:tabs>
          <w:tab w:leader="none" w:pos="1094"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7"/>
          <w:szCs w:val="17"/>
          <w:color w:val="auto"/>
        </w:rPr>
      </w:pPr>
    </w:p>
    <w:p>
      <w:pPr>
        <w:ind w:left="640" w:right="340" w:hanging="321"/>
        <w:spacing w:after="0" w:line="296" w:lineRule="auto"/>
        <w:tabs>
          <w:tab w:leader="none" w:pos="6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100" w:right="140" w:hanging="466"/>
        <w:spacing w:after="0" w:line="296" w:lineRule="auto"/>
        <w:tabs>
          <w:tab w:leader="none" w:pos="1097"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1100" w:right="100" w:hanging="466"/>
        <w:spacing w:after="0" w:line="281" w:lineRule="auto"/>
        <w:tabs>
          <w:tab w:leader="none" w:pos="1094"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Date: May 3, 2022</w:t>
            </w:r>
          </w:p>
        </w:tc>
        <w:tc>
          <w:tcPr>
            <w:tcW w:w="2740" w:type="dxa"/>
            <w:vAlign w:val="bottom"/>
          </w:tcPr>
          <w:p>
            <w:pPr>
              <w:ind w:left="2160"/>
              <w:spacing w:after="0"/>
              <w:rPr>
                <w:sz w:val="20"/>
                <w:szCs w:val="20"/>
                <w:color w:val="auto"/>
              </w:rPr>
            </w:pPr>
            <w:r>
              <w:rPr>
                <w:rFonts w:ascii="Times New Roman" w:cs="Times New Roman" w:eastAsia="Times New Roman" w:hAnsi="Times New Roman"/>
                <w:sz w:val="17"/>
                <w:szCs w:val="17"/>
                <w:color w:val="auto"/>
              </w:rPr>
              <w:t>By:</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Sean P. Galvin</w:t>
            </w:r>
          </w:p>
        </w:tc>
      </w:tr>
      <w:tr>
        <w:trPr>
          <w:trHeight w:val="211"/>
        </w:trPr>
        <w:tc>
          <w:tcPr>
            <w:tcW w:w="34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Sean Galvin</w:t>
            </w:r>
          </w:p>
        </w:tc>
      </w:tr>
      <w:tr>
        <w:trPr>
          <w:trHeight w:val="228"/>
        </w:trPr>
        <w:tc>
          <w:tcPr>
            <w:tcW w:w="34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240"/>
          </w:cols>
          <w:pgMar w:left="320" w:top="866"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0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on Form 10-Q of Virtu Financial, Inc. (the “Company”) for the period ended March 31, 2022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spacing w:after="0" w:line="190" w:lineRule="exact"/>
        <w:rPr>
          <w:sz w:val="20"/>
          <w:szCs w:val="20"/>
          <w:color w:val="auto"/>
        </w:rPr>
      </w:pPr>
    </w:p>
    <w:p>
      <w:pPr>
        <w:ind w:left="1280" w:hanging="175"/>
        <w:spacing w:after="0"/>
        <w:tabs>
          <w:tab w:leader="none" w:pos="12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and</w:t>
      </w:r>
    </w:p>
    <w:p>
      <w:pPr>
        <w:spacing w:after="0" w:line="223" w:lineRule="exact"/>
        <w:rPr>
          <w:rFonts w:ascii="Times New Roman" w:cs="Times New Roman" w:eastAsia="Times New Roman" w:hAnsi="Times New Roman"/>
          <w:sz w:val="17"/>
          <w:szCs w:val="17"/>
          <w:color w:val="auto"/>
        </w:rPr>
      </w:pPr>
    </w:p>
    <w:p>
      <w:pPr>
        <w:ind w:left="1100" w:right="580" w:firstLine="5"/>
        <w:spacing w:after="0" w:line="296" w:lineRule="auto"/>
        <w:tabs>
          <w:tab w:leader="none" w:pos="1271"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20320</wp:posOffset>
            </wp:positionV>
            <wp:extent cx="34766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Douglas A. Cifu</w:t>
      </w:r>
    </w:p>
    <w:p>
      <w:pPr>
        <w:spacing w:after="0" w:line="3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Date: May 3, 2022</w:t>
      </w:r>
    </w:p>
    <w:p>
      <w:pPr>
        <w:sectPr>
          <w:pgSz w:w="11900" w:h="16838" w:orient="portrait"/>
          <w:cols w:equalWidth="0" w:num="1">
            <w:col w:w="11240"/>
          </w:cols>
          <w:pgMar w:left="320" w:top="866"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0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on Form 10-Q of Virtu Financial, Inc. (the “Company”) for the period ended March 31, 2022 as filed with the Securities and Exchange Commission on the date hereof (the “Report”), I, Sean P. Galvin, certify, pursuant to 18 U.S.C. Section 1350, as adopted pursuant to Section 906 of the Sarbanes-Oxley Act of 2002, in my capacity as an officer of the Company that, to my knowledge:</w:t>
      </w:r>
    </w:p>
    <w:p>
      <w:pPr>
        <w:spacing w:after="0" w:line="164" w:lineRule="exact"/>
        <w:rPr>
          <w:sz w:val="20"/>
          <w:szCs w:val="20"/>
          <w:color w:val="auto"/>
        </w:rPr>
      </w:pPr>
    </w:p>
    <w:p>
      <w:pPr>
        <w:ind w:left="1280" w:hanging="175"/>
        <w:spacing w:after="0"/>
        <w:tabs>
          <w:tab w:leader="none" w:pos="12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and</w:t>
      </w:r>
    </w:p>
    <w:p>
      <w:pPr>
        <w:spacing w:after="0" w:line="223" w:lineRule="exact"/>
        <w:rPr>
          <w:rFonts w:ascii="Times New Roman" w:cs="Times New Roman" w:eastAsia="Times New Roman" w:hAnsi="Times New Roman"/>
          <w:sz w:val="17"/>
          <w:szCs w:val="17"/>
          <w:color w:val="auto"/>
        </w:rPr>
      </w:pPr>
    </w:p>
    <w:p>
      <w:pPr>
        <w:ind w:left="1100" w:right="580" w:firstLine="5"/>
        <w:spacing w:after="0" w:line="296" w:lineRule="auto"/>
        <w:tabs>
          <w:tab w:leader="none" w:pos="127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 Sean P. Galvin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20320</wp:posOffset>
            </wp:positionV>
            <wp:extent cx="34931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93135" cy="8255"/>
                    </a:xfrm>
                    <a:prstGeom prst="rect">
                      <a:avLst/>
                    </a:prstGeom>
                    <a:noFill/>
                  </pic:spPr>
                </pic:pic>
              </a:graphicData>
            </a:graphic>
          </wp:anchor>
        </w:drawing>
      </w:r>
    </w:p>
    <w:p>
      <w:pPr>
        <w:spacing w:after="0" w:line="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Sean Galvin</w:t>
      </w:r>
    </w:p>
    <w:p>
      <w:pPr>
        <w:spacing w:after="0" w:line="3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Date: May 3, 2022</w:t>
      </w: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lvl w:ilvl="1">
      <w:lvlJc w:val="left"/>
      <w:lvlText w:val="(%2)"/>
      <w:numFmt w:val="decimal"/>
      <w:start w:val="1"/>
    </w:lvl>
  </w:abstractNum>
  <w:abstractNum w:abstractNumId="11">
    <w:nsid w:val="79838CB2"/>
    <w:multiLevelType w:val="hybridMultilevel"/>
    <w:lvl w:ilvl="0">
      <w:lvlJc w:val="left"/>
      <w:lvlText w:val="%1."/>
      <w:numFmt w:val="decimal"/>
      <w:start w:val="18"/>
    </w:lvl>
    <w:lvl w:ilvl="1">
      <w:lvlJc w:val="left"/>
      <w:lvlText w:val="%2"/>
      <w:numFmt w:val="decimal"/>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lowerRoman"/>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1"/>
    </w:lvl>
    <w:lvl w:ilvl="1">
      <w:lvlJc w:val="left"/>
      <w:lvlText w:val="(%2)"/>
      <w:numFmt w:val="lowerLetter"/>
      <w:start w:val="1"/>
    </w:lvl>
  </w:abstractNum>
  <w:abstractNum w:abstractNumId="23">
    <w:nsid w:val="7C3DBD3D"/>
    <w:multiLevelType w:val="hybridMultilevel"/>
    <w:lvl w:ilvl="0">
      <w:lvlJc w:val="left"/>
      <w:lvlText w:val="%1."/>
      <w:numFmt w:val="decimal"/>
      <w:start w:val="2"/>
    </w:lvl>
    <w:lvl w:ilvl="1">
      <w:lvlJc w:val="left"/>
      <w:lvlText w:val="(%2)"/>
      <w:numFmt w:val="lowerLetter"/>
      <w:start w:val="1"/>
    </w:lvl>
  </w:abstractNum>
  <w:abstractNum w:abstractNumId="24">
    <w:nsid w:val="737B8DDC"/>
    <w:multiLevelType w:val="hybridMultilevel"/>
    <w:lvl w:ilvl="0">
      <w:lvlJc w:val="left"/>
      <w:lvlText w:val="%1"/>
      <w:numFmt w:val="decimal"/>
      <w:start w:val="1"/>
    </w:lvl>
    <w:lvl w:ilvl="1">
      <w:lvlJc w:val="left"/>
      <w:lvlText w:val="(%2)"/>
      <w:numFmt w:val="lowerLetter"/>
      <w:start w:val="3"/>
    </w:lvl>
  </w:abstractNum>
  <w:abstractNum w:abstractNumId="25">
    <w:nsid w:val="6CEAF087"/>
    <w:multiLevelType w:val="hybridMultilevel"/>
    <w:lvl w:ilvl="0">
      <w:lvlJc w:val="left"/>
      <w:lvlText w:val="%1."/>
      <w:numFmt w:val="decimal"/>
      <w:start w:val="3"/>
    </w:lvl>
    <w:lvl w:ilvl="1">
      <w:lvlJc w:val="left"/>
      <w:lvlText w:val="%2"/>
      <w:numFmt w:val="lowerLetter"/>
      <w:start w:val="1"/>
    </w:lvl>
  </w:abstractNum>
  <w:abstractNum w:abstractNumId="26">
    <w:nsid w:val="22221A70"/>
    <w:multiLevelType w:val="hybridMultilevel"/>
    <w:lvl w:ilvl="0">
      <w:lvlJc w:val="left"/>
      <w:lvlText w:val="%1."/>
      <w:numFmt w:val="decimal"/>
      <w:start w:val="4"/>
    </w:lvl>
  </w:abstractNum>
  <w:abstractNum w:abstractNumId="27">
    <w:nsid w:val="4516DDE9"/>
    <w:multiLevelType w:val="hybridMultilevel"/>
    <w:lvl w:ilvl="0">
      <w:lvlJc w:val="left"/>
      <w:lvlText w:val="%1."/>
      <w:numFmt w:val="decimal"/>
      <w:start w:val="5"/>
    </w:lvl>
    <w:lvl w:ilvl="1">
      <w:lvlJc w:val="left"/>
      <w:lvlText w:val="(%2)"/>
      <w:numFmt w:val="lowerLetter"/>
      <w:start w:val="1"/>
    </w:lvl>
  </w:abstractNum>
  <w:abstractNum w:abstractNumId="28">
    <w:nsid w:val="3006C83E"/>
    <w:multiLevelType w:val="hybridMultilevel"/>
    <w:lvl w:ilvl="0">
      <w:lvlJc w:val="left"/>
      <w:lvlText w:val="%1"/>
      <w:numFmt w:val="decimal"/>
      <w:start w:val="1"/>
    </w:lvl>
    <w:lvl w:ilvl="1">
      <w:lvlJc w:val="left"/>
      <w:lvlText w:val="(%2)"/>
      <w:numFmt w:val="lowerLetter"/>
      <w:start w:val="2"/>
    </w:lvl>
  </w:abstractNum>
  <w:abstractNum w:abstractNumId="29">
    <w:nsid w:val="614FD4A1"/>
    <w:multiLevelType w:val="hybridMultilevel"/>
    <w:lvl w:ilvl="0">
      <w:lvlJc w:val="left"/>
      <w:lvlText w:val="%1."/>
      <w:numFmt w:val="decimal"/>
      <w:start w:val="8"/>
    </w:lvl>
    <w:lvl w:ilvl="1">
      <w:lvlJc w:val="left"/>
      <w:lvlText w:val="%2"/>
      <w:numFmt w:val="lowerLetter"/>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4"/>
    </w:lvl>
  </w:abstractNum>
  <w:abstractNum w:abstractNumId="32">
    <w:nsid w:val="440BADFC"/>
    <w:multiLevelType w:val="hybridMultilevel"/>
    <w:lvl w:ilvl="0">
      <w:lvlJc w:val="left"/>
      <w:lvlText w:val="(%1)"/>
      <w:numFmt w:val="lowerLetter"/>
      <w:start w:val="9"/>
    </w:lvl>
    <w:lvl w:ilvl="1">
      <w:lvlJc w:val="left"/>
      <w:lvlText w:val="(%2)"/>
      <w:numFmt w:val="upperLetter"/>
      <w:start w:val="1"/>
    </w:lvl>
    <w:lvl w:ilvl="2">
      <w:lvlJc w:val="left"/>
      <w:lvlText w:val="(%3)"/>
      <w:numFmt w:val="lowerRoman"/>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2022-05-03T16:18:48Z</dcterms:created>
  <dcterms:modified xsi:type="dcterms:W3CDTF">2022-05-03T16:18:48Z</dcterms:modified>
</cp:coreProperties>
</file>