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264541.xml.htm"/>
      <w:bookmarkStart w:id="1" w:name="kswkform4_17872645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Nixon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VIRTU FINANCIAL,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1633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Virtu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3"/>
        <w:gridCol w:w="905"/>
        <w:gridCol w:w="774"/>
        <w:gridCol w:w="601"/>
        <w:gridCol w:w="351"/>
        <w:gridCol w:w="854"/>
        <w:gridCol w:w="461"/>
        <w:gridCol w:w="759"/>
        <w:gridCol w:w="1174"/>
        <w:gridCol w:w="1006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59.98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29,590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RSU is granted under the Issuer's Second Amended and Restated 2015 Management Incentive Plan and represents a contingent right to receive one share of Class A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on July 1,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Justin Waldie,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1334" TargetMode="External"/><Relationship Id="rId5" Type="http://schemas.openxmlformats.org/officeDocument/2006/relationships/hyperlink" Target="http://www.sec.gov/cgi-bin/browse-edgar?action=getcompany&amp;CIK=00015923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3317</Characters>
  <CharactersWithSpaces>3859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