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8"/>
        </w:rPr>
        <w:t>FORM 10-K</w:t>
      </w: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ANNUAL REPORT PURSUANT TO SECTION 13 OR 15(d) OF THE SECURITIES EXCHANGE ACT OF 1934</w:t>
      </w:r>
    </w:p>
    <w:p>
      <w:pPr>
        <w:pStyle w:val="TextBody"/>
        <w:bidi w:val="0"/>
        <w:spacing w:before="0" w:after="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001-37352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Virtu Financial, Inc. </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(Exact name of registrant as specified in its charter)</w:t>
      </w:r>
    </w:p>
    <w:tbl>
      <w:tblPr>
        <w:tblW w:w="6959" w:type="dxa"/>
        <w:jc w:val="center"/>
        <w:tblInd w:w="0" w:type="dxa"/>
        <w:tblLayout w:type="fixed"/>
        <w:tblCellMar>
          <w:top w:w="28" w:type="dxa"/>
          <w:left w:w="28" w:type="dxa"/>
          <w:bottom w:w="28" w:type="dxa"/>
          <w:right w:w="28" w:type="dxa"/>
        </w:tblCellMar>
      </w:tblPr>
      <w:tblGrid>
        <w:gridCol w:w="1549"/>
        <w:gridCol w:w="1360"/>
        <w:gridCol w:w="138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32-0420206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tbl>
      <w:tblPr>
        <w:tblW w:w="3778" w:type="dxa"/>
        <w:jc w:val="center"/>
        <w:tblInd w:w="0" w:type="dxa"/>
        <w:tblLayout w:type="fixed"/>
        <w:tblCellMar>
          <w:top w:w="28" w:type="dxa"/>
          <w:left w:w="28" w:type="dxa"/>
          <w:bottom w:w="28" w:type="dxa"/>
          <w:right w:w="28" w:type="dxa"/>
        </w:tblCellMar>
      </w:tblPr>
      <w:tblGrid>
        <w:gridCol w:w="550"/>
        <w:gridCol w:w="483"/>
        <w:gridCol w:w="483"/>
        <w:gridCol w:w="444"/>
        <w:gridCol w:w="444"/>
        <w:gridCol w:w="459"/>
        <w:gridCol w:w="268"/>
        <w:gridCol w:w="268"/>
        <w:gridCol w:w="379"/>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1633 Broadway</w:t>
            </w:r>
          </w:p>
        </w:tc>
        <w:tc>
          <w:tcPr>
            <w:tcW w:w="9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10019</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xml:space="preserve">New York, </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New York</w:t>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18"/>
        </w:rPr>
        <w:t xml:space="preserve">(212) 418-0100 </w:t>
      </w:r>
    </w:p>
    <w:p>
      <w:pPr>
        <w:pStyle w:val="TextBody"/>
        <w:bidi w:val="0"/>
        <w:spacing w:lineRule="auto" w:line="264" w:before="0" w:after="60"/>
        <w:jc w:val="center"/>
        <w:rPr/>
      </w:pPr>
      <w:r>
        <w:rPr>
          <w:rFonts w:ascii="Times New Roman;sans-serif" w:hAnsi="Times New Roman;sans-serif"/>
          <w:b w:val="false"/>
          <w:color w:val="000000"/>
          <w:sz w:val="18"/>
        </w:rPr>
        <w:t>(Registrant’s telephone number, including area code)</w:t>
      </w:r>
      <w:r>
        <w:rPr>
          <w:color w:val="000000"/>
        </w:rPr>
        <w:t> </w:t>
      </w:r>
    </w:p>
    <w:p>
      <w:pPr>
        <w:pStyle w:val="TextBody"/>
        <w:bidi w:val="0"/>
        <w:spacing w:before="0" w:after="60"/>
        <w:jc w:val="center"/>
        <w:rPr/>
      </w:pPr>
      <w:r>
        <w:rPr/>
      </w:r>
    </w:p>
    <w:p>
      <w:pPr>
        <w:pStyle w:val="TextBody"/>
        <w:bidi w:val="0"/>
        <w:spacing w:lineRule="auto" w:line="264"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306" w:type="dxa"/>
        <w:jc w:val="center"/>
        <w:tblInd w:w="0" w:type="dxa"/>
        <w:tblLayout w:type="fixed"/>
        <w:tblCellMar>
          <w:top w:w="28" w:type="dxa"/>
          <w:left w:w="28" w:type="dxa"/>
          <w:bottom w:w="28" w:type="dxa"/>
          <w:right w:w="28" w:type="dxa"/>
        </w:tblCellMar>
      </w:tblPr>
      <w:tblGrid>
        <w:gridCol w:w="1415"/>
        <w:gridCol w:w="1241"/>
        <w:gridCol w:w="1258"/>
        <w:gridCol w:w="109"/>
        <w:gridCol w:w="109"/>
        <w:gridCol w:w="109"/>
        <w:gridCol w:w="474"/>
        <w:gridCol w:w="474"/>
        <w:gridCol w:w="476"/>
        <w:gridCol w:w="109"/>
        <w:gridCol w:w="109"/>
        <w:gridCol w:w="109"/>
        <w:gridCol w:w="970"/>
        <w:gridCol w:w="970"/>
        <w:gridCol w:w="1374"/>
      </w:tblGrid>
      <w:tr>
        <w:trPr/>
        <w:tc>
          <w:tcPr>
            <w:tcW w:w="141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1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(Title of class)</w:t>
      </w:r>
    </w:p>
    <w:p>
      <w:pPr>
        <w:pStyle w:val="TextBody"/>
        <w:bidi w:val="0"/>
        <w:spacing w:lineRule="auto" w:line="288" w:before="0" w:after="6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a well-known seasoned issuer, as defined in Rule 405 of the Securities Act. Yes ☒ No ☐</w:t>
      </w:r>
    </w:p>
    <w:p>
      <w:pPr>
        <w:pStyle w:val="TextBody"/>
        <w:bidi w:val="0"/>
        <w:spacing w:lineRule="auto" w:line="288" w:before="0" w:after="6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Section 15(d) of the Exchange Act. Yes ☐ No ☒</w:t>
      </w:r>
    </w:p>
    <w:p>
      <w:pPr>
        <w:pStyle w:val="TextBody"/>
        <w:bidi w:val="0"/>
        <w:spacing w:lineRule="auto" w:line="288" w:before="0" w:after="6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6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6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017"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414"/>
        <w:gridCol w:w="414"/>
        <w:gridCol w:w="416"/>
        <w:gridCol w:w="109"/>
        <w:gridCol w:w="109"/>
        <w:gridCol w:w="109"/>
        <w:gridCol w:w="909"/>
        <w:gridCol w:w="909"/>
        <w:gridCol w:w="91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80"/>
              <w:jc w:val="center"/>
              <w:rPr>
                <w:color w:val="000000"/>
              </w:rPr>
            </w:pPr>
            <w:r>
              <w:rPr>
                <w:color w:val="000000"/>
              </w:rPr>
              <w:t>☒</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60"/>
              <w:jc w:val="center"/>
              <w:rPr>
                <w:color w:val="000000"/>
              </w:rPr>
            </w:pPr>
            <w:r>
              <w:rPr>
                <w:color w:val="000000"/>
              </w:rPr>
              <w:t>☐</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60"/>
              <w:jc w:val="center"/>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60"/>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(Do not check if a 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br/>
              <w:t> </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60"/>
              <w:jc w:val="center"/>
              <w:rPr>
                <w:color w:val="000000"/>
              </w:rPr>
            </w:pPr>
            <w:r>
              <w:rPr>
                <w:color w:val="000000"/>
              </w:rPr>
              <w:t>☐</w:t>
            </w:r>
          </w:p>
        </w:tc>
      </w:tr>
    </w:tbl>
    <w:p>
      <w:pPr>
        <w:pStyle w:val="TextBody"/>
        <w:bidi w:val="0"/>
        <w:spacing w:lineRule="auto" w:line="288" w:before="0" w:after="6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76" w:before="0" w:after="6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lineRule="auto" w:line="288" w:before="0" w:after="6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tbl>
      <w:tblPr>
        <w:tblW w:w="7616" w:type="dxa"/>
        <w:jc w:val="center"/>
        <w:tblInd w:w="0" w:type="dxa"/>
        <w:tblLayout w:type="fixed"/>
        <w:tblCellMar>
          <w:top w:w="28" w:type="dxa"/>
          <w:left w:w="28" w:type="dxa"/>
          <w:bottom w:w="28" w:type="dxa"/>
          <w:right w:w="28" w:type="dxa"/>
        </w:tblCellMar>
      </w:tblPr>
      <w:tblGrid>
        <w:gridCol w:w="1417"/>
        <w:gridCol w:w="1245"/>
        <w:gridCol w:w="1252"/>
        <w:gridCol w:w="109"/>
        <w:gridCol w:w="109"/>
        <w:gridCol w:w="109"/>
        <w:gridCol w:w="986"/>
        <w:gridCol w:w="986"/>
        <w:gridCol w:w="1403"/>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Outstanding as of February 13, 2024</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89,415,191</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par value $0.00001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8,607,998</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60,091,740</w:t>
            </w:r>
          </w:p>
        </w:tc>
      </w:tr>
    </w:tbl>
    <w:p>
      <w:pPr>
        <w:pStyle w:val="TextBody"/>
        <w:bidi w:val="0"/>
        <w:spacing w:lineRule="auto" w:line="288" w:before="0" w:after="60"/>
        <w:ind w:left="0" w:right="0" w:firstLine="360"/>
        <w:jc w:val="left"/>
        <w:rPr/>
      </w:pPr>
      <w:r>
        <w:rPr>
          <w:rFonts w:ascii="Times New Roman;sans-serif" w:hAnsi="Times New Roman;sans-serif"/>
          <w:b w:val="false"/>
          <w:color w:val="000000"/>
          <w:sz w:val="18"/>
        </w:rPr>
        <w:t xml:space="preserve">The aggregate market value of voting and non-voting common stock held by non-affiliates of the registrant as of June 30, </w:t>
      </w:r>
      <w:r>
        <w:rPr>
          <w:rFonts w:ascii="Times New Roman;sans-serif" w:hAnsi="Times New Roman;sans-serif"/>
          <w:b w:val="false"/>
          <w:color w:val="000000"/>
          <w:sz w:val="20"/>
        </w:rPr>
        <w:t>2023</w:t>
      </w:r>
      <w:r>
        <w:rPr>
          <w:color w:val="000000"/>
        </w:rPr>
        <w:t xml:space="preserve"> </w:t>
      </w:r>
      <w:r>
        <w:rPr>
          <w:rFonts w:ascii="Times New Roman;sans-serif" w:hAnsi="Times New Roman;sans-serif"/>
          <w:b w:val="false"/>
          <w:color w:val="000000"/>
          <w:sz w:val="18"/>
        </w:rPr>
        <w:t>was approximately $1,516.7 million, based on the closing price of $17.09 per share as reported by Nasdaq on such date.</w:t>
      </w:r>
    </w:p>
    <w:p>
      <w:pPr>
        <w:pStyle w:val="TextBody"/>
        <w:bidi w:val="0"/>
        <w:spacing w:lineRule="auto" w:line="288" w:before="0" w:after="60"/>
        <w:ind w:left="0" w:right="0" w:firstLine="360"/>
        <w:jc w:val="left"/>
        <w:rPr>
          <w:color w:val="000000"/>
        </w:rPr>
      </w:pPr>
      <w:r>
        <w:rPr>
          <w:color w:val="000000"/>
        </w:rPr>
        <w:t> </w:t>
      </w:r>
      <w:r>
        <w:rPr>
          <w:rFonts w:ascii="Times New Roman;sans-serif" w:hAnsi="Times New Roman;sans-serif"/>
          <w:b w:val="false"/>
          <w:color w:val="000000"/>
          <w:sz w:val="18"/>
        </w:rPr>
        <w:t xml:space="preserve">Portions of Part III of this Form 10-K are incorporated by reference from the Registrant’s definitive proxy statement (the “2024 Proxy Statement”) for its 2024 annual meeting of shareholders to be filed with the Securities and Exchange Commission no later than 120 days after the end of the Registrant’s fiscal year.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2023</w:t>
      </w:r>
    </w:p>
    <w:tbl>
      <w:tblPr>
        <w:tblW w:w="10205" w:type="dxa"/>
        <w:jc w:val="center"/>
        <w:tblInd w:w="0" w:type="dxa"/>
        <w:tblLayout w:type="fixed"/>
        <w:tblCellMar>
          <w:top w:w="28" w:type="dxa"/>
          <w:left w:w="28" w:type="dxa"/>
          <w:bottom w:w="28" w:type="dxa"/>
          <w:right w:w="28" w:type="dxa"/>
        </w:tblCellMar>
      </w:tblPr>
      <w:tblGrid>
        <w:gridCol w:w="306"/>
        <w:gridCol w:w="268"/>
        <w:gridCol w:w="270"/>
        <w:gridCol w:w="109"/>
        <w:gridCol w:w="109"/>
        <w:gridCol w:w="109"/>
        <w:gridCol w:w="2782"/>
        <w:gridCol w:w="2630"/>
        <w:gridCol w:w="2613"/>
        <w:gridCol w:w="294"/>
        <w:gridCol w:w="294"/>
        <w:gridCol w:w="421"/>
      </w:tblGrid>
      <w:tr>
        <w:trPr/>
        <w:tc>
          <w:tcPr>
            <w:tcW w:w="30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br/>
              <w:t>NUMBER</w:t>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16">
              <w:r>
                <w:rPr>
                  <w:rStyle w:val="InternetLink"/>
                  <w:rFonts w:ascii="Times New Roman;sans-serif" w:hAnsi="Times New Roman;sans-serif"/>
                  <w:b w:val="false"/>
                  <w:color w:val="0000FF"/>
                  <w:sz w:val="20"/>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2">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2">
              <w:r>
                <w:rPr>
                  <w:rStyle w:val="InternetLink"/>
                  <w:rFonts w:ascii="Times New Roman;sans-serif" w:hAnsi="Times New Roman;sans-serif"/>
                  <w:b w:val="false"/>
                  <w:color w:val="0000FF"/>
                  <w:sz w:val="20"/>
                  <w:u w:val="single"/>
                </w:rPr>
                <w:t>BUSINESS</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2">
              <w:r>
                <w:rPr>
                  <w:rStyle w:val="InternetLink"/>
                  <w:rFonts w:ascii="Times New Roman;sans-serif" w:hAnsi="Times New Roman;sans-serif"/>
                  <w:b w:val="false"/>
                  <w:color w:val="0000FF"/>
                  <w:sz w:val="20"/>
                  <w:u w:val="single"/>
                </w:rPr>
                <w:t>5</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5">
              <w:r>
                <w:rPr>
                  <w:rStyle w:val="InternetLink"/>
                  <w:rFonts w:ascii="Times New Roman;sans-serif" w:hAnsi="Times New Roman;sans-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5">
              <w:r>
                <w:rPr>
                  <w:rStyle w:val="InternetLink"/>
                  <w:rFonts w:ascii="Times New Roman;sans-serif" w:hAnsi="Times New Roman;sans-serif"/>
                  <w:b w:val="false"/>
                  <w:color w:val="0000FF"/>
                  <w:sz w:val="20"/>
                  <w:u w:val="single"/>
                </w:rPr>
                <w:t>RISK FACTORS</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5">
              <w:r>
                <w:rPr>
                  <w:rStyle w:val="InternetLink"/>
                  <w:rFonts w:ascii="Times New Roman;sans-serif" w:hAnsi="Times New Roman;sans-serif"/>
                  <w:b w:val="false"/>
                  <w:color w:val="0000FF"/>
                  <w:sz w:val="20"/>
                  <w:u w:val="single"/>
                </w:rPr>
                <w:t>17</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31">
              <w:r>
                <w:rPr>
                  <w:rStyle w:val="InternetLink"/>
                  <w:rFonts w:ascii="Times New Roman;sans-serif" w:hAnsi="Times New Roman;sans-serif"/>
                  <w:b w:val="false"/>
                  <w:color w:val="0000FF"/>
                  <w:sz w:val="20"/>
                  <w:u w:val="single"/>
                </w:rPr>
                <w:t>ITEM 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31">
              <w:r>
                <w:rPr>
                  <w:rStyle w:val="InternetLink"/>
                  <w:rFonts w:ascii="Times New Roman;sans-serif" w:hAnsi="Times New Roman;sans-serif"/>
                  <w:b w:val="false"/>
                  <w:color w:val="0000FF"/>
                  <w:sz w:val="20"/>
                  <w:u w:val="single"/>
                </w:rPr>
                <w:t>UNRESOLVED STAFF COMMENTS</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31">
              <w:r>
                <w:rPr>
                  <w:rStyle w:val="InternetLink"/>
                  <w:rFonts w:ascii="Times New Roman;sans-serif" w:hAnsi="Times New Roman;sans-serif"/>
                  <w:b w:val="false"/>
                  <w:color w:val="0000FF"/>
                  <w:sz w:val="20"/>
                  <w:u w:val="single"/>
                </w:rPr>
                <w:t>41</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1649267444319">
              <w:r>
                <w:rPr>
                  <w:rStyle w:val="InternetLink"/>
                  <w:rFonts w:ascii="Times New Roman;sans-serif" w:hAnsi="Times New Roman;sans-serif"/>
                  <w:b w:val="false"/>
                  <w:color w:val="0000FF"/>
                  <w:sz w:val="20"/>
                  <w:u w:val="single"/>
                </w:rPr>
                <w:t>ITEM 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1649267444319">
              <w:r>
                <w:rPr>
                  <w:rStyle w:val="InternetLink"/>
                  <w:rFonts w:ascii="Times New Roman;sans-serif" w:hAnsi="Times New Roman;sans-serif"/>
                  <w:b w:val="false"/>
                  <w:color w:val="0000FF"/>
                  <w:sz w:val="20"/>
                  <w:u w:val="single"/>
                </w:rPr>
                <w:t>CYBERSECURITY</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1649267444319">
              <w:r>
                <w:rPr>
                  <w:rStyle w:val="InternetLink"/>
                  <w:rFonts w:ascii="Times New Roman;sans-serif" w:hAnsi="Times New Roman;sans-serif"/>
                  <w:b w:val="false"/>
                  <w:color w:val="0000FF"/>
                  <w:sz w:val="20"/>
                  <w:u w:val="single"/>
                </w:rPr>
                <w:t>42</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34">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34">
              <w:r>
                <w:rPr>
                  <w:rStyle w:val="InternetLink"/>
                  <w:rFonts w:ascii="Times New Roman;sans-serif" w:hAnsi="Times New Roman;sans-serif"/>
                  <w:b w:val="false"/>
                  <w:color w:val="0000FF"/>
                  <w:sz w:val="20"/>
                  <w:u w:val="single"/>
                </w:rPr>
                <w:t>PROPERTIES</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34">
              <w:r>
                <w:rPr>
                  <w:rStyle w:val="InternetLink"/>
                  <w:rFonts w:ascii="Times New Roman;sans-serif" w:hAnsi="Times New Roman;sans-serif"/>
                  <w:b w:val="false"/>
                  <w:color w:val="0000FF"/>
                  <w:sz w:val="20"/>
                  <w:u w:val="single"/>
                </w:rPr>
                <w:t>43</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44">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44">
              <w:r>
                <w:rPr>
                  <w:rStyle w:val="InternetLink"/>
                  <w:rFonts w:ascii="Times New Roman;sans-serif" w:hAnsi="Times New Roman;sans-serif"/>
                  <w:b w:val="false"/>
                  <w:color w:val="0000FF"/>
                  <w:sz w:val="20"/>
                  <w:u w:val="single"/>
                </w:rPr>
                <w:t>LEGAL PROCEEDINGS</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44">
              <w:r>
                <w:rPr>
                  <w:rStyle w:val="InternetLink"/>
                  <w:rFonts w:ascii="Times New Roman;sans-serif" w:hAnsi="Times New Roman;sans-serif"/>
                  <w:b w:val="false"/>
                  <w:color w:val="0000FF"/>
                  <w:sz w:val="20"/>
                  <w:u w:val="single"/>
                </w:rPr>
                <w:t>43</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56">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56">
              <w:r>
                <w:rPr>
                  <w:rStyle w:val="InternetLink"/>
                  <w:rFonts w:ascii="Times New Roman;sans-serif" w:hAnsi="Times New Roman;sans-serif"/>
                  <w:b w:val="false"/>
                  <w:color w:val="0000FF"/>
                  <w:sz w:val="20"/>
                  <w:u w:val="single"/>
                </w:rPr>
                <w:t>MINE SAFETY DISCLOSURES</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56">
              <w:r>
                <w:rPr>
                  <w:rStyle w:val="InternetLink"/>
                  <w:rFonts w:ascii="Times New Roman;sans-serif" w:hAnsi="Times New Roman;sans-serif"/>
                  <w:b w:val="false"/>
                  <w:color w:val="0000FF"/>
                  <w:sz w:val="20"/>
                  <w:u w:val="single"/>
                </w:rPr>
                <w:t>43</w:t>
              </w:r>
            </w:hyperlink>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41">
              <w:r>
                <w:rPr>
                  <w:rStyle w:val="InternetLink"/>
                  <w:rFonts w:ascii="Times New Roman;sans-serif" w:hAnsi="Times New Roman;sans-serif"/>
                  <w:b w:val="false"/>
                  <w:color w:val="0000FF"/>
                  <w:sz w:val="20"/>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62">
              <w:r>
                <w:rPr>
                  <w:rStyle w:val="InternetLink"/>
                  <w:rFonts w:ascii="Times New Roman;sans-serif" w:hAnsi="Times New Roman;sans-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62">
              <w:r>
                <w:rPr>
                  <w:rStyle w:val="InternetLink"/>
                  <w:rFonts w:ascii="Times New Roman;sans-serif" w:hAnsi="Times New Roman;sans-serif"/>
                  <w:b w:val="false"/>
                  <w:color w:val="0000FF"/>
                  <w:sz w:val="20"/>
                  <w:u w:val="single"/>
                </w:rPr>
                <w:t>MARKET FOR REGISTRANT'S COMMON EQUITY, RELATED SHAREHOLDER MATTERS AND ISSUER PURCHASES OF EQUITY SECURITIES</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62">
              <w:r>
                <w:rPr>
                  <w:rStyle w:val="InternetLink"/>
                  <w:rFonts w:ascii="Times New Roman;sans-serif" w:hAnsi="Times New Roman;sans-serif"/>
                  <w:b w:val="false"/>
                  <w:color w:val="0000FF"/>
                  <w:sz w:val="20"/>
                  <w:u w:val="single"/>
                </w:rPr>
                <w:t>45</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65">
              <w:r>
                <w:rPr>
                  <w:rStyle w:val="InternetLink"/>
                  <w:rFonts w:ascii="Times New Roman;sans-serif" w:hAnsi="Times New Roman;sans-serif"/>
                  <w:b w:val="false"/>
                  <w:color w:val="000080"/>
                  <w:sz w:val="20"/>
                  <w:u w:val="single"/>
                </w:rPr>
                <w:t>I</w:t>
              </w:r>
            </w:hyperlink>
            <w:hyperlink w:anchor="if09bf47863c748f2a4631537bedab44c_268">
              <w:r>
                <w:rPr>
                  <w:rStyle w:val="InternetLink"/>
                  <w:rFonts w:ascii="Times New Roman;sans-serif" w:hAnsi="Times New Roman;sans-serif"/>
                  <w:b w:val="false"/>
                  <w:color w:val="000080"/>
                  <w:sz w:val="20"/>
                  <w:u w:val="single"/>
                </w:rPr>
                <w:t>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68">
              <w:r>
                <w:rPr>
                  <w:rStyle w:val="InternetLink"/>
                  <w:rFonts w:ascii="Times New Roman;sans-serif" w:hAnsi="Times New Roman;sans-serif"/>
                  <w:b w:val="false"/>
                  <w:color w:val="0000FF"/>
                  <w:sz w:val="20"/>
                  <w:u w:val="single"/>
                </w:rPr>
                <w:t>RESERVED</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68">
              <w:r>
                <w:rPr>
                  <w:rStyle w:val="InternetLink"/>
                  <w:rFonts w:ascii="Times New Roman;sans-serif" w:hAnsi="Times New Roman;sans-serif"/>
                  <w:b w:val="false"/>
                  <w:color w:val="0000FF"/>
                  <w:sz w:val="20"/>
                  <w:u w:val="single"/>
                </w:rPr>
                <w:t>48</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163">
              <w:r>
                <w:rPr>
                  <w:rStyle w:val="InternetLink"/>
                  <w:rFonts w:ascii="Times New Roman;sans-serif" w:hAnsi="Times New Roman;sans-serif"/>
                  <w:b w:val="false"/>
                  <w:color w:val="0000FF"/>
                  <w:sz w:val="20"/>
                  <w:u w:val="single"/>
                </w:rPr>
                <w:t>ITEM 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16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163">
              <w:r>
                <w:rPr>
                  <w:rStyle w:val="InternetLink"/>
                  <w:rFonts w:ascii="Times New Roman;sans-serif" w:hAnsi="Times New Roman;sans-serif"/>
                  <w:b w:val="false"/>
                  <w:color w:val="0000FF"/>
                  <w:sz w:val="20"/>
                  <w:u w:val="single"/>
                </w:rPr>
                <w:t>49</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11">
              <w:r>
                <w:rPr>
                  <w:rStyle w:val="InternetLink"/>
                  <w:rFonts w:ascii="Times New Roman;sans-serif" w:hAnsi="Times New Roman;sans-serif"/>
                  <w:b w:val="false"/>
                  <w:color w:val="0000FF"/>
                  <w:sz w:val="20"/>
                  <w:u w:val="single"/>
                </w:rPr>
                <w:t>ITEM 7A.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11">
              <w:r>
                <w:rPr>
                  <w:rStyle w:val="InternetLink"/>
                  <w:rFonts w:ascii="Times New Roman;sans-serif" w:hAnsi="Times New Roman;sans-serif"/>
                  <w:b w:val="false"/>
                  <w:color w:val="0000FF"/>
                  <w:sz w:val="20"/>
                  <w:u w:val="single"/>
                </w:rPr>
                <w:t>QUANTITATIVE AND QUALITATIVE DISCLOSURES ABOUT MARKET RISK</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11">
              <w:r>
                <w:rPr>
                  <w:rStyle w:val="InternetLink"/>
                  <w:rFonts w:ascii="Times New Roman;sans-serif" w:hAnsi="Times New Roman;sans-serif"/>
                  <w:b w:val="false"/>
                  <w:color w:val="0000FF"/>
                  <w:sz w:val="20"/>
                  <w:u w:val="single"/>
                </w:rPr>
                <w:t>75</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37">
              <w:r>
                <w:rPr>
                  <w:rStyle w:val="InternetLink"/>
                  <w:rFonts w:ascii="Times New Roman;sans-serif" w:hAnsi="Times New Roman;sans-serif"/>
                  <w:b w:val="false"/>
                  <w:color w:val="0000FF"/>
                  <w:sz w:val="20"/>
                  <w:u w:val="single"/>
                </w:rPr>
                <w:t>ITEM 8.</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37">
              <w:r>
                <w:rPr>
                  <w:rStyle w:val="InternetLink"/>
                  <w:rFonts w:ascii="Times New Roman;sans-serif" w:hAnsi="Times New Roman;sans-serif"/>
                  <w:b w:val="false"/>
                  <w:color w:val="0000FF"/>
                  <w:sz w:val="20"/>
                  <w:u w:val="single"/>
                </w:rPr>
                <w:t>FINANCIAL STATEMENTS AND SUPPLEMENTARY DATA</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37">
              <w:r>
                <w:rPr>
                  <w:rStyle w:val="InternetLink"/>
                  <w:rFonts w:ascii="Times New Roman;sans-serif" w:hAnsi="Times New Roman;sans-serif"/>
                  <w:b w:val="false"/>
                  <w:color w:val="0000FF"/>
                  <w:sz w:val="20"/>
                  <w:u w:val="single"/>
                </w:rPr>
                <w:t>77</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71">
              <w:r>
                <w:rPr>
                  <w:rStyle w:val="InternetLink"/>
                  <w:rFonts w:ascii="Times New Roman;sans-serif" w:hAnsi="Times New Roman;sans-serif"/>
                  <w:b w:val="false"/>
                  <w:color w:val="0000FF"/>
                  <w:sz w:val="20"/>
                  <w:u w:val="single"/>
                </w:rPr>
                <w:t>ITEM 9.</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71">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71">
              <w:r>
                <w:rPr>
                  <w:rStyle w:val="InternetLink"/>
                  <w:rFonts w:ascii="Times New Roman;sans-serif" w:hAnsi="Times New Roman;sans-serif"/>
                  <w:b w:val="false"/>
                  <w:color w:val="0000FF"/>
                  <w:sz w:val="20"/>
                  <w:u w:val="single"/>
                </w:rPr>
                <w:t>135</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26">
              <w:r>
                <w:rPr>
                  <w:rStyle w:val="InternetLink"/>
                  <w:rFonts w:ascii="Times New Roman;sans-serif" w:hAnsi="Times New Roman;sans-serif"/>
                  <w:b w:val="false"/>
                  <w:color w:val="0000FF"/>
                  <w:sz w:val="20"/>
                  <w:u w:val="single"/>
                </w:rPr>
                <w:t>ITEM 9A.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26">
              <w:r>
                <w:rPr>
                  <w:rStyle w:val="InternetLink"/>
                  <w:rFonts w:ascii="Times New Roman;sans-serif" w:hAnsi="Times New Roman;sans-serif"/>
                  <w:b w:val="false"/>
                  <w:color w:val="0000FF"/>
                  <w:sz w:val="20"/>
                  <w:u w:val="single"/>
                </w:rPr>
                <w:t>CONTROLS AND PROCEDURES</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26">
              <w:r>
                <w:rPr>
                  <w:rStyle w:val="InternetLink"/>
                  <w:rFonts w:ascii="Times New Roman;sans-serif" w:hAnsi="Times New Roman;sans-serif"/>
                  <w:b w:val="false"/>
                  <w:color w:val="0000FF"/>
                  <w:sz w:val="20"/>
                  <w:u w:val="single"/>
                </w:rPr>
                <w:t>135</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74">
              <w:r>
                <w:rPr>
                  <w:rStyle w:val="InternetLink"/>
                  <w:rFonts w:ascii="Times New Roman;sans-serif" w:hAnsi="Times New Roman;sans-serif"/>
                  <w:b w:val="false"/>
                  <w:color w:val="0000FF"/>
                  <w:sz w:val="20"/>
                  <w:u w:val="single"/>
                </w:rPr>
                <w:t>ITEM 9B.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74">
              <w:r>
                <w:rPr>
                  <w:rStyle w:val="InternetLink"/>
                  <w:rFonts w:ascii="Times New Roman;sans-serif" w:hAnsi="Times New Roman;sans-serif"/>
                  <w:b w:val="false"/>
                  <w:color w:val="0000FF"/>
                  <w:sz w:val="20"/>
                  <w:u w:val="single"/>
                </w:rPr>
                <w:t>OTHER INFORMATION</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74">
              <w:r>
                <w:rPr>
                  <w:rStyle w:val="InternetLink"/>
                  <w:rFonts w:ascii="Times New Roman;sans-serif" w:hAnsi="Times New Roman;sans-serif"/>
                  <w:b w:val="false"/>
                  <w:color w:val="0000FF"/>
                  <w:sz w:val="20"/>
                  <w:u w:val="single"/>
                </w:rPr>
                <w:t>137</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77">
              <w:r>
                <w:rPr>
                  <w:rStyle w:val="InternetLink"/>
                  <w:rFonts w:ascii="Times New Roman;sans-serif" w:hAnsi="Times New Roman;sans-serif"/>
                  <w:b w:val="false"/>
                  <w:color w:val="0000FF"/>
                  <w:sz w:val="20"/>
                  <w:u w:val="single"/>
                </w:rPr>
                <w:t>ITEM 9C.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77">
              <w:r>
                <w:rPr>
                  <w:rStyle w:val="InternetLink"/>
                  <w:rFonts w:ascii="Times New Roman;sans-serif" w:hAnsi="Times New Roman;sans-serif"/>
                  <w:b w:val="false"/>
                  <w:color w:val="0000FF"/>
                  <w:sz w:val="20"/>
                  <w:u w:val="single"/>
                </w:rPr>
                <w:t>DISCLOSURE REGARDING FOREIGN JURISDICTIONS THAT PREVENT INSPECTIONS</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77">
              <w:r>
                <w:rPr>
                  <w:rStyle w:val="InternetLink"/>
                  <w:rFonts w:ascii="Times New Roman;sans-serif" w:hAnsi="Times New Roman;sans-serif"/>
                  <w:b w:val="false"/>
                  <w:color w:val="0000FF"/>
                  <w:sz w:val="20"/>
                  <w:u w:val="single"/>
                </w:rPr>
                <w:t>138</w:t>
              </w:r>
            </w:hyperlink>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80">
              <w:r>
                <w:rPr>
                  <w:rStyle w:val="InternetLink"/>
                  <w:rFonts w:ascii="Times New Roman;sans-serif" w:hAnsi="Times New Roman;sans-serif"/>
                  <w:b w:val="false"/>
                  <w:color w:val="0000FF"/>
                  <w:sz w:val="20"/>
                  <w:u w:val="single"/>
                </w:rPr>
                <w:t>PART III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83">
              <w:r>
                <w:rPr>
                  <w:rStyle w:val="InternetLink"/>
                  <w:rFonts w:ascii="Times New Roman;sans-serif" w:hAnsi="Times New Roman;sans-serif"/>
                  <w:b w:val="false"/>
                  <w:color w:val="0000FF"/>
                  <w:sz w:val="20"/>
                  <w:u w:val="single"/>
                </w:rPr>
                <w:t>ITEM 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83">
              <w:r>
                <w:rPr>
                  <w:rStyle w:val="InternetLink"/>
                  <w:rFonts w:ascii="Times New Roman;sans-serif" w:hAnsi="Times New Roman;sans-serif"/>
                  <w:b w:val="false"/>
                  <w:color w:val="0000FF"/>
                  <w:sz w:val="20"/>
                  <w:u w:val="single"/>
                </w:rPr>
                <w:t>DIRECTORS, EXECUTIVE OFFICERS, AND CORPORATE GOVERNANCE</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83">
              <w:r>
                <w:rPr>
                  <w:rStyle w:val="InternetLink"/>
                  <w:rFonts w:ascii="Times New Roman;sans-serif" w:hAnsi="Times New Roman;sans-serif"/>
                  <w:b w:val="false"/>
                  <w:color w:val="0000FF"/>
                  <w:sz w:val="20"/>
                  <w:u w:val="single"/>
                </w:rPr>
                <w:t>140</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86">
              <w:r>
                <w:rPr>
                  <w:rStyle w:val="InternetLink"/>
                  <w:rFonts w:ascii="Times New Roman;sans-serif" w:hAnsi="Times New Roman;sans-serif"/>
                  <w:b w:val="false"/>
                  <w:color w:val="0000FF"/>
                  <w:sz w:val="20"/>
                  <w:u w:val="single"/>
                </w:rPr>
                <w:t>ITEM 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86">
              <w:r>
                <w:rPr>
                  <w:rStyle w:val="InternetLink"/>
                  <w:rFonts w:ascii="Times New Roman;sans-serif" w:hAnsi="Times New Roman;sans-serif"/>
                  <w:b w:val="false"/>
                  <w:color w:val="0000FF"/>
                  <w:sz w:val="20"/>
                  <w:u w:val="single"/>
                </w:rPr>
                <w:t>EXECUTIVE COMPENSATION</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86">
              <w:r>
                <w:rPr>
                  <w:rStyle w:val="InternetLink"/>
                  <w:rFonts w:ascii="Times New Roman;sans-serif" w:hAnsi="Times New Roman;sans-serif"/>
                  <w:b w:val="false"/>
                  <w:color w:val="0000FF"/>
                  <w:sz w:val="20"/>
                  <w:u w:val="single"/>
                </w:rPr>
                <w:t>141</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89">
              <w:r>
                <w:rPr>
                  <w:rStyle w:val="InternetLink"/>
                  <w:rFonts w:ascii="Times New Roman;sans-serif" w:hAnsi="Times New Roman;sans-serif"/>
                  <w:b w:val="false"/>
                  <w:color w:val="0000FF"/>
                  <w:sz w:val="20"/>
                  <w:u w:val="single"/>
                </w:rPr>
                <w:t>ITEM 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89">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89">
              <w:r>
                <w:rPr>
                  <w:rStyle w:val="InternetLink"/>
                  <w:rFonts w:ascii="Times New Roman;sans-serif" w:hAnsi="Times New Roman;sans-serif"/>
                  <w:b w:val="false"/>
                  <w:color w:val="0000FF"/>
                  <w:sz w:val="20"/>
                  <w:u w:val="single"/>
                </w:rPr>
                <w:t>142</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92">
              <w:r>
                <w:rPr>
                  <w:rStyle w:val="InternetLink"/>
                  <w:rFonts w:ascii="Times New Roman;sans-serif" w:hAnsi="Times New Roman;sans-serif"/>
                  <w:b w:val="false"/>
                  <w:color w:val="0000FF"/>
                  <w:sz w:val="20"/>
                  <w:u w:val="single"/>
                </w:rPr>
                <w:t>ITEM 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92">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92">
              <w:r>
                <w:rPr>
                  <w:rStyle w:val="InternetLink"/>
                  <w:rFonts w:ascii="Times New Roman;sans-serif" w:hAnsi="Times New Roman;sans-serif"/>
                  <w:b w:val="false"/>
                  <w:color w:val="0000FF"/>
                  <w:sz w:val="20"/>
                  <w:u w:val="single"/>
                </w:rPr>
                <w:t>143</w:t>
              </w:r>
            </w:hyperlink>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95">
              <w:r>
                <w:rPr>
                  <w:rStyle w:val="InternetLink"/>
                  <w:rFonts w:ascii="Times New Roman;sans-serif" w:hAnsi="Times New Roman;sans-serif"/>
                  <w:b w:val="false"/>
                  <w:color w:val="0000FF"/>
                  <w:sz w:val="20"/>
                  <w:u w:val="single"/>
                </w:rPr>
                <w:t>ITEM 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95">
              <w:r>
                <w:rPr>
                  <w:rStyle w:val="InternetLink"/>
                  <w:rFonts w:ascii="Times New Roman;sans-serif" w:hAnsi="Times New Roman;sans-serif"/>
                  <w:b w:val="false"/>
                  <w:color w:val="0000FF"/>
                  <w:sz w:val="20"/>
                  <w:u w:val="single"/>
                </w:rPr>
                <w:t>PRINCIPAL ACCOUNTANT FEES AND SERVICES</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295">
              <w:r>
                <w:rPr>
                  <w:rStyle w:val="InternetLink"/>
                  <w:rFonts w:ascii="Times New Roman;sans-serif" w:hAnsi="Times New Roman;sans-serif"/>
                  <w:b w:val="false"/>
                  <w:color w:val="0000FF"/>
                  <w:sz w:val="20"/>
                  <w:u w:val="single"/>
                </w:rPr>
                <w:t>144</w:t>
              </w:r>
            </w:hyperlink>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298">
              <w:r>
                <w:rPr>
                  <w:rStyle w:val="InternetLink"/>
                  <w:rFonts w:ascii="Times New Roman;sans-serif" w:hAnsi="Times New Roman;sans-serif"/>
                  <w:b w:val="false"/>
                  <w:color w:val="0000FF"/>
                  <w:sz w:val="20"/>
                  <w:u w:val="single"/>
                </w:rPr>
                <w:t>PART IV</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301">
              <w:r>
                <w:rPr>
                  <w:rStyle w:val="InternetLink"/>
                  <w:rFonts w:ascii="Times New Roman;sans-serif" w:hAnsi="Times New Roman;sans-serif"/>
                  <w:b w:val="false"/>
                  <w:color w:val="0000FF"/>
                  <w:sz w:val="20"/>
                  <w:u w:val="single"/>
                </w:rPr>
                <w:t>ITEM 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301">
              <w:r>
                <w:rPr>
                  <w:rStyle w:val="InternetLink"/>
                  <w:rFonts w:ascii="Times New Roman;sans-serif" w:hAnsi="Times New Roman;sans-serif"/>
                  <w:b w:val="false"/>
                  <w:color w:val="0000FF"/>
                  <w:sz w:val="20"/>
                  <w:u w:val="single"/>
                </w:rPr>
                <w:t>EXHIBITS AND FINANCIAL STATEMENT SCHEDULES</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301">
              <w:r>
                <w:rPr>
                  <w:rStyle w:val="InternetLink"/>
                  <w:rFonts w:ascii="Times New Roman;sans-serif" w:hAnsi="Times New Roman;sans-serif"/>
                  <w:b w:val="false"/>
                  <w:color w:val="0000FF"/>
                  <w:sz w:val="20"/>
                  <w:u w:val="single"/>
                </w:rPr>
                <w:t>145</w:t>
              </w:r>
            </w:hyperlink>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310">
              <w:r>
                <w:rPr>
                  <w:rStyle w:val="InternetLink"/>
                  <w:rFonts w:ascii="Times New Roman;sans-serif" w:hAnsi="Times New Roman;sans-serif"/>
                  <w:b w:val="false"/>
                  <w:color w:val="0000FF"/>
                  <w:sz w:val="20"/>
                  <w:u w:val="single"/>
                </w:rPr>
                <w:t>SIGNATURES</w:t>
              </w:r>
            </w:hyperlink>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310">
              <w:r>
                <w:rPr>
                  <w:rStyle w:val="InternetLink"/>
                  <w:rFonts w:ascii="Times New Roman;sans-serif" w:hAnsi="Times New Roman;sans-serif"/>
                  <w:b w:val="false"/>
                  <w:color w:val="0000FF"/>
                  <w:sz w:val="20"/>
                  <w:u w:val="single"/>
                </w:rPr>
                <w:t>150</w:t>
              </w:r>
            </w:hyperlink>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 LOOKING STATEMENTS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Annual Report on Form 10-K. By their nature, forward-looking statements involve known and unknown risks and uncertainties, including those described under the heading “Risk Factors” in this Annual Report on Form 10-K, because they relate to events and depend on circumstances that may or may not occur in the future. Although we believe that the forward-looking statements contained in this Annual Report on Form 10-K are based on reasonable assumptions, you should be aware that many factors, including those described under the heading “Risk Factors” in this Annual Report on Form 10-K, could affect our actual financial results or results of operations and cash flows, and could cause actual results to differ materially from those in such forward-looking statements, including but not limited to:</w:t>
      </w:r>
    </w:p>
    <w:p>
      <w:pPr>
        <w:pStyle w:val="TextBody"/>
        <w:bidi w:val="0"/>
        <w:spacing w:before="120" w:after="283"/>
        <w:ind w:left="0" w:right="0" w:firstLine="36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volatility in levels of overall trading activity;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dependence upon trading counterparties, clients and clearing houses performing their obligations to us;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failures of our customized trading platform;</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inherent to the electronic market making business and trading generally;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recent SEC rule proposals focused on equity markets may, if adopted, materially change U.S. equity market structure, including reducing overall trading volumes, reducing off-exchange trading and market making opportunities, requiring additional tools, platforms and services to register as an alternative trading system (“ATS”) or exchange, and generally increasing the implicit and explicit cost as well as the complexity of the U.S. equities eco-system for all participants, all of which could have an adverse effect on our business;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additionally, enhanced regulatory and media scrutiny, including attention to electronic trading, wholesale market making and off-exchange trading, payment for order flow, and other market structure topics and both the impact of additional potential changes in regulation or law as well as the potential impact upon public perception of us or of companies in our industry could also have an adverse effect on our business;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increased competition in market making activities and execution services;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dependence on continued access to sources of liquidity;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self-clearing and other operational elements of our business, including but not limited to risks related to funding and liquidity;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obligations to comply with applicable regulatory capital requirements;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litigation or other legal and regulatory-based liabilities;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obligations to comply with laws and regulations applicable to our operations in the U.S. and abroad;</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need to maintain and continue developing proprietary technologies;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capacity constraints, system failures, and delays;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dependence on third-party infrastructure or systems;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use of open source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 to protect or enforce our intellectual property rights in our proprietary technology;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 to protect confidential and proprietary information;</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 to protect our systems from internal or external cyber threats that could result in damage to our computer systems, business interruption, loss of data, monetary payment demands or other consequences;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international operations and expansion, including failed acquisitions or dispositions;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the effects of and changes in economic conditions (such as volatility in the financial markets, increased inflation, monetary conditions and foreign currency and continued or exasperated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natural disasters, pandemics or extreme weather;</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potential growth and associated corporate actions;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inability to access, or delay in accessing the capital markets to sell shares or raise additional capital;</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loss of key executives and failure to recruit and retain qualified personnel; and</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losing access to a significant exchange or other trading 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undertake no obligation to publicly update or revise any forward-looking statements to reflect events or circumstances that may arise after the date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financial firm that leverages cutting edge technology to deliver liquidity to the global markets and innovative, transparent trading solutions to our clients. Leveraging our global market structure expertise and scaled, multi-asset infrastructure, we provide our clients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Exchange Traded Funds (“ETFs”), options, foreign exchange, futures, fixed income, cryptocurrencies, and myriad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operational efficiency are at the core of our business, and our focus on market making and order routing technology is a key element of our success. We have developed a proprietary, multi</w:t>
        <w:noBreakHyphen/>
        <w:t>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institutional agency activities in an efficient manner that enables us to scale our activities globally, across additional securities and other financial instruments and asset classes, without significant incremental costs or third-party licensing or processing fees.</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technology-enabled market makers like Virtu serve an important role in maintaining and improving the overall health and efficiency of the global capital markets by providing market participants with an efficient means to transfer risk and analyze the quality of execution. We believe that market participants benefit from the increased liquidity, lower overall trading costs and execution transparency that Virtu provides.</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hundreds of retail brokers, Registered Investment Advisors, private client networks, sell-side brokers, and buy-side institutions.</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two operating segments: Market Making and Execution Services, and one non-operating segment: Corporate. Our management allocates resources, assesses performance and manages our business according to these segments.</w:t>
      </w:r>
    </w:p>
    <w:p>
      <w:pPr>
        <w:pStyle w:val="TextBody"/>
        <w:bidi w:val="0"/>
        <w:spacing w:before="0" w:after="0"/>
        <w:ind w:left="0" w:right="0" w:firstLine="54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primarily conduct our Americas equities business through our SEC registered broker</w:t>
        <w:noBreakHyphen/>
        <w:t>dealer, Virtu Americas, LLC (“VAL”). We are registered with the Central Bank of Ireland (“CBI”) and the Financial Conduct Authority (“FCA”) in the UK for our European trading, the Canadian Investment Regulatory Organization (“CIRO”) and the Ontario Securities Commission for our Canadian trading, and the Monetary Authority of Singapore (“MAS”), Securities and Futures Commission of Hong Kong (“SFC”), and Australian Securities and Investments Commission (“ASIC”) for our Asia-Pacific (“APAC”) trading. We are registered as a market maker or liquidity provider and/or enter into direct obligations to provide liquidity on nearly every exchange or venue that offers such programs. We engage regularly with regulators around the world on issues affecting electronic trading and other matters that may affect our business and the operation of the financial markets and advocate for increased transparency. In the U.S., we conduct our business from our headquarters in New York City and our offices in Boston, Austin, Texas, Chicago, Short Hills, New Jersey, and Palm Beach Gardens, Florida. Abroad, we conduct our business through trading centers located in London, Dublin, Paris, Singapore, Hong Kong, Toronto, and Sydney.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Making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Market Making segment principally consists of market making in the cash, futures, and options markets across global equities, fixed income, currencies, cryptocurrencies, and commodities. As a leading, low</w:t>
        <w:noBreakHyphen/>
        <w:t>cost market maker dedicated to improving efficiency and providing liquidity across multiple asset classes and geographies, we aim to provide critical market functionality and robust price competition in the securities and other financial instruments in which we provide liquidity. The scale and diversity of our market making activities provide added liquidity and transparency to the financial markets, which we believe are necessary and valuable components to the efficient functioning of markets and benefit all market participants. We support transparent and efficient, technologically advanced marketplaces, and advocate for legislation and regulation that promotes fair and transparent access to the financial markets.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market maker, we commit capital on a principal basis by offering to buy securities from, or sell securities to, broker dealers, banks and institutions. We engage in principal trading in the Market Making segment direct to clients as well as in a supplemental capacity on exchanges, ATSs and other market centers. As a complement to electronic market making, our cash trading business handles specialized orders and transacts on the OTC Link ATS operated by OTC Markets Group Inc.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markets in a number of different asset classes, which are discussed in more detail below. We register as market makers and liquidity providers where available and support affirmative market making obligations.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competitive and deep liquidity that helps to create more efficient markets around the world. We stand ready, at any time, to buy or sell a broad range of securities and other financial instruments, and we generate revenue by buying and selling large volumes of securities and other financial instruments while earning small bid/ask spreads.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overall level of volumes and realized volatility as well as the attractiveness of the order flow we interact with and the level of retail participation in the various markets we serve have the greatest impact on our businesses. Increases in market volatility can cause bid/ask spreads to temporarily widen as market participants are more willing to transact immediately and as a result market makers’ capture rate per notional amount transacted increases.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is at the core of our business. Our team of in-house software engineers develops our software and applications, and we utilize optimized infrastructure to integrate directly with the exchanges and other trading venues on which we provide liquidity. Our focus on technology and our ability to leverage our technology enables us to be one of the lowest cost providers of liquidity to the global electronic trading marketplace.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Leveraging the scalability and low costs of our platform, we are able to test and rapidly deploy new liquidity provisioning strategies, expand to new securities, asset classes and geographies and increase transaction volumes at little incremental cost. These efficiencies are central to our ability to deliver consistently positive Adjusted Net Trading Income (as defined below) as our profitability per trade and per instrument is not significant, particularly in U.S. equities.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transaction processing is automated over the full life cycle of a trade. Our market making platform generates and disseminates continuous bid and offer quotes. At the moment when a trade is executed, our systems capture and deliver this information back to the source, in most cases within a fraction of a second, and the trade record is written into our clearing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system, where it flows through a chain of control accounts that allow us to automatically and efficiently reconcile trades, positions and payments until the final settlement occurs.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built and continuously refine our automated and integrated, real time systems for global trading, risk management, clearing and cash management, among other purposes. We have also assembled a proprietary connectivity network between us and exchanges around the world. Efficiency and speed in performing prescribed functions are always crucial requirements for our systems, and generally we focus on opportunities in markets that are sufficiently advanced to allow the seamless deployment of our automated strategies, risk management system and core technology.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core operations team across our offices in North America, APAC and Europe monitors our systems 24 hours a day, five days a week. This function provides coverage for our full technology platform, including our market data, order routing, transaction processing, and risk management technology modules.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Clients and Products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direct-to-client market making services across multiple asset classes primarily to sell-side clients including global, national and regional broker dealers and banks as well as buy-side clients comprising, among others, mutual funds, pension plans, plan sponsors, hedge funds, trusts and endowments in North America, Europe and Asia.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compete based on execution quality, market coverage, and client service. In direct-to-client electronic market making in U.S. equities, execution quality is generally measured based on factors that include speed of execution, fulfillment rates, opportunity and amounts of price improvement, using metrics defined in SEC Rule 605. In other asset classes, metrics for execution quality are not prescribed by applicable regulation, and in many cases, are client defined.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continually work to provide clients with high quality, low-cost trade executions that enable them to satisfy their fiduciary obligation to seek the best execution on behalf of their customer. We continually refine our automated order routing models so that we may remain competitive.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Global Equities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trade over 25,000 listed and over-the-counter (“OTC”) securities including, among others, equity related futures and exchange traded products (“ETPs”), on sixteen U.S. Securities and Exchange Commission (“SEC”) registered exchanges and other market centers around the world, including the New York Stock Exchange (“NYSE”), the Nasdaq, NYSE Arca, Cboe BATS, Chicago Stock Exchange, the Member's Exchange (“MEMX”), the TSX in Canada, Bovespa in Brazil and BMV in Mexico, as well as other ATSs and more than 20 private liquidity pools. </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Our strategy globally is to utilize high speed, efficient connections to all of the registered exchanges and market centers, including the London Stock Exchange, Cboe Europe Equities, Euronext, Six Swiss Exchange, Australian Securities Exchange, Tokyo Stock Exchange and Singapore Exchange, as well as other trading venues and additional pools of liquidity to which we can gain access either directly or through a broker.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ETPs and other similar products, including Exchange Traded Funds (“ETFs”), have proliferated both domestically and internationally, demand has increased for trading the underlying assets or hedging such products. Our technology has enabled us to expand into providing liquidity to this growing area by making markets across these assets in a variety of trading venues globally. We are authorized participants, and can create and/or redeem ETPs.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i/>
          <w:color w:val="000000"/>
          <w:sz w:val="20"/>
        </w:rPr>
        <w:t>Global Fixed Income, Currencies and Commodities (</w:t>
      </w:r>
      <w:r>
        <w:rPr>
          <w:color w:val="000000"/>
        </w:rPr>
        <w:t>“</w:t>
      </w:r>
      <w:r>
        <w:rPr>
          <w:rFonts w:ascii="Times New Roman;sans-serif" w:hAnsi="Times New Roman;sans-serif"/>
          <w:b/>
          <w:i/>
          <w:color w:val="000000"/>
          <w:sz w:val="20"/>
        </w:rPr>
        <w:t>FICC</w:t>
      </w:r>
      <w:r>
        <w:rPr>
          <w:color w:val="000000"/>
        </w:rPr>
        <w:t>”</w:t>
      </w:r>
      <w:r>
        <w:rPr>
          <w:rFonts w:ascii="Times New Roman;sans-serif" w:hAnsi="Times New Roman;sans-serif"/>
          <w:b/>
          <w:i/>
          <w:color w:val="000000"/>
          <w:sz w:val="20"/>
        </w:rPr>
        <w:t>), Options, and Other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Fixed Income market making includes our activity in U.S. Treasury securities and other sovereign debt, corporate bonds, and other debt instruments. We trade these products on a variety of specialized exchanges, direct to counterparties, and other trading venues, including BrokerTec, eSpeed, DealerWeb, Bloomberg, Tradeweb, MarketAxess, and BGC’s Fenics UTS.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Currencies market making, including spot, futures and forwards, comprises our activity in over 80 currencies, including deliverable, non-deliverable, fiat, and digital currencies, across dozens of venues and direct to counterparties. We are a leading participant in the major foreign exchange venues, including LSEG, Currenex, Cboe FX and CME.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Commodities market making takes place on the CME, ICE, and Nasdaq Futures in crude oil, natural gas, heating oil, and gasoline futures. We trade approximately 100 energy products and futures on the ICE, CME, and TOCOM. We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actively trade precious metals, including gold, silver, platinum and palladium, as well as base metals such as aluminum and copper.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Options and Other market making includes our activity on all of the U.S. options exchanges of which we are a member (i.e., Cboe, ISE and NYSE Arca) and on the U.S. futures exchanges, as well as our activity in cryptocurrencies. Our cryptocurrency market making includes spot, perpetuals, futures, and ETFs and takes place across 55 venues and exchanges.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Execution Services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offer agency execution services and trading venues that provide transparent trading in global equities, ETFs, fixed income, currencies, and commodities</w:t>
      </w:r>
      <w:r>
        <w:rPr>
          <w:color w:val="222222"/>
        </w:rPr>
        <w:t xml:space="preserve"> </w:t>
      </w:r>
      <w:r>
        <w:rPr>
          <w:rFonts w:ascii="Times New Roman;sans-serif" w:hAnsi="Times New Roman;sans-serif"/>
          <w:b w:val="false"/>
          <w:color w:val="222222"/>
          <w:sz w:val="20"/>
        </w:rPr>
        <w:t xml:space="preserve">to institutions, banks and broker dealers. We generally earn commissions </w:t>
      </w:r>
      <w:r>
        <w:rPr>
          <w:rFonts w:ascii="Times New Roman;sans-serif" w:hAnsi="Times New Roman;sans-serif"/>
          <w:b w:val="false"/>
          <w:color w:val="000000"/>
          <w:sz w:val="20"/>
        </w:rPr>
        <w:t>when transacting as an agent for our clients.</w:t>
      </w:r>
      <w:r>
        <w:rPr>
          <w:color w:val="222222"/>
        </w:rPr>
        <w:t xml:space="preserve"> </w:t>
      </w:r>
      <w:r>
        <w:rPr>
          <w:rFonts w:ascii="Times New Roman;sans-serif" w:hAnsi="Times New Roman;sans-serif"/>
          <w:b w:val="false"/>
          <w:color w:val="222222"/>
          <w:sz w:val="20"/>
        </w:rPr>
        <w:t>Within the Execution Services segment, we offer the following categories of products and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Agency-based, execution-only trading, done through a variety of access points including: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algorithmic trading and order routing;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institutional sales traders who offer portfolio trading and single stock sales trading providing execution expertise for program, block and riskless principal trades in global equities and ETFs;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matching of client conditional orders via POSIT Alert and in our ATSs, including Virtu MatchIt and POSIT.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Workflow Technology, and our integrated, broker-neutral trading tools delivered across the globe including order and execution management systems and order management software applications and network connectivity;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Trading Analytics, including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tools enabling portfolio managers and traders to improve pre-trade and real-time execution performance and post-trade analysis;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portfolio construction and optimization decisions;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securities valuation.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222222"/>
          <w:sz w:val="20"/>
        </w:rPr>
      </w:pPr>
      <w:r>
        <w:rPr>
          <w:rFonts w:ascii="Times New Roman;sans-serif" w:hAnsi="Times New Roman;sans-serif"/>
          <w:b/>
          <w:i/>
          <w:color w:val="222222"/>
          <w:sz w:val="20"/>
        </w:rPr>
        <w:t>Clients and Products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222222"/>
          <w:sz w:val="20"/>
        </w:rPr>
      </w:pPr>
      <w:r>
        <w:rPr>
          <w:rFonts w:ascii="Times New Roman;sans-serif" w:hAnsi="Times New Roman;sans-serif"/>
          <w:b w:val="false"/>
          <w:color w:val="222222"/>
          <w:sz w:val="20"/>
        </w:rPr>
        <w:t>We offer agency execution services across multiple asset classes to buy-side clients including mutual funds, pension plans, plan sponsors, hedge funds, trusts and endowments and sell-side clients including global, national and regional broker dealers and banks in North America, Europe and Asia. In 2023, our Execution Services segment did not have any client that accounted for more than 10% of our total commissions earned.</w:t>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ans-serif" w:hAnsi="Times New Roman;sans-serif"/>
          <w:b w:val="false"/>
          <w:color w:val="222222"/>
          <w:sz w:val="20"/>
        </w:rPr>
        <w:t xml:space="preserve">Clients may access a broad range of products and services that includes electronic execution services in global equities via algorithmic trading, order routing and an execution management system (“EMS”) as well as internal crossing through our registered ATSs. Our ATSs provide clients with important sources of non-displayed liquidity. We also offer clients voice access to global markets including sales and trading for equities, ETFs and options. Certain broker-dealer affiliates </w:t>
      </w:r>
      <w:r>
        <w:rPr>
          <w:rFonts w:ascii="Times New Roman;sans-serif" w:hAnsi="Times New Roman;sans-serif"/>
          <w:b w:val="false"/>
          <w:color w:val="000000"/>
          <w:sz w:val="20"/>
        </w:rPr>
        <w:t xml:space="preserve">also engage in foreign exchange trading to facilitate equity trades by clients in different currencies as well as other client foreign exchange trades unrelated to equity trades. </w:t>
      </w:r>
      <w:r>
        <w:rPr>
          <w:rFonts w:ascii="Times New Roman;sans-serif" w:hAnsi="Times New Roman;sans-serif"/>
          <w:b w:val="false"/>
          <w:color w:val="222222"/>
          <w:sz w:val="20"/>
        </w:rPr>
        <w:t>We handle large complex trades, accessing liquidity from our order flow and other sources. We provide soft dollar and commission recapture programs.</w:t>
      </w:r>
    </w:p>
    <w:p>
      <w:pPr>
        <w:pStyle w:val="TextBody"/>
        <w:bidi w:val="0"/>
        <w:spacing w:before="0" w:after="0"/>
        <w:ind w:left="0" w:right="0" w:firstLine="495"/>
        <w:jc w:val="both"/>
        <w:rPr/>
      </w:pPr>
      <w:r>
        <w:rPr/>
      </w:r>
    </w:p>
    <w:p>
      <w:pPr>
        <w:pStyle w:val="TextBody"/>
        <w:bidi w:val="0"/>
        <w:spacing w:lineRule="auto" w:line="276" w:before="0" w:after="0"/>
        <w:ind w:left="0" w:right="0" w:firstLine="720"/>
        <w:jc w:val="left"/>
        <w:rPr/>
      </w:pPr>
      <w:r>
        <w:rPr>
          <w:rFonts w:ascii="Times New Roman;sans-serif" w:hAnsi="Times New Roman;sans-serif"/>
          <w:b w:val="false"/>
          <w:color w:val="222222"/>
          <w:sz w:val="20"/>
        </w:rPr>
        <w:t xml:space="preserve">In this segment, we generally compete on trading technology, execution performance, costs, client service, market coverage, liquidity, platform capabilities and anonymity. We draw on in-house developed trading technologies to meet client criteria for execution quality and for managing trading costs. As a result, we are able to attract a diverse array of clients in terms of strategy, size and style. We also provide algorithmic trading and order routing that combine technology, access to our differentiated liquidity and support from experienced professionals to help clients execute trades. </w:t>
      </w:r>
      <w:r>
        <w:rPr>
          <w:rFonts w:ascii="Times New Roman;sans-serif" w:hAnsi="Times New Roman;sans-serif"/>
          <w:b w:val="false"/>
          <w:color w:val="000000"/>
          <w:sz w:val="20"/>
        </w:rPr>
        <w:t xml:space="preserve">The segment also includes the results of our capital markets business, in which we act as an agent for issuers in connection with at-the-market offerings and buyback programs.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222222"/>
          <w:sz w:val="20"/>
        </w:rPr>
      </w:pPr>
      <w:r>
        <w:rPr>
          <w:rFonts w:ascii="Times New Roman;sans-serif" w:hAnsi="Times New Roman;sans-serif"/>
          <w:b/>
          <w:i/>
          <w:color w:val="222222"/>
          <w:sz w:val="20"/>
        </w:rPr>
        <w:t>Agency-based, Execution-only Trading</w:t>
      </w:r>
    </w:p>
    <w:p>
      <w:pPr>
        <w:pStyle w:val="TextBody"/>
        <w:bidi w:val="0"/>
        <w:spacing w:lineRule="auto" w:line="288" w:before="0" w:after="0"/>
        <w:ind w:left="0" w:right="0" w:firstLine="450"/>
        <w:jc w:val="both"/>
        <w:rPr>
          <w:color w:val="222222"/>
        </w:rPr>
      </w:pPr>
      <w:r>
        <w:rPr>
          <w:color w:val="222222"/>
        </w:rPr>
        <w:t>    </w:t>
      </w:r>
    </w:p>
    <w:p>
      <w:pPr>
        <w:pStyle w:val="TextBody"/>
        <w:bidi w:val="0"/>
        <w:spacing w:lineRule="auto" w:line="288" w:before="0" w:after="0"/>
        <w:ind w:left="0" w:right="0" w:firstLine="720"/>
        <w:jc w:val="left"/>
        <w:rPr/>
      </w:pPr>
      <w:r>
        <w:rPr>
          <w:rFonts w:ascii="Times New Roman;sans-serif" w:hAnsi="Times New Roman;sans-serif"/>
          <w:b w:val="false"/>
          <w:color w:val="222222"/>
          <w:sz w:val="20"/>
        </w:rPr>
        <w:t xml:space="preserve">Our clients may access a broad range of products and services that includes electronic execution services in global equities via algorithmic trading, order routing and an EMS as well as internal crossing through our registered ATSs. </w:t>
      </w:r>
      <w:r>
        <w:rPr>
          <w:rFonts w:ascii="Times New Roman;sans-serif" w:hAnsi="Times New Roman;sans-serif"/>
          <w:b w:val="false"/>
          <w:color w:val="000000"/>
          <w:sz w:val="20"/>
        </w:rPr>
        <w:t>Our algorithms and order routers help portfolio managers and traders to trade orders quickly, comprehensively and cost</w:t>
        <w:noBreakHyphen/>
        <w:t>efficiently from our EMS or our Order Management System (“OMS”) and most third</w:t>
        <w:noBreakHyphen/>
        <w:t xml:space="preserve">party trading platforms. Our institutional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traders offer portfolio trading and single stock sales trading which provides execution expertise for program, block and riskless principal trades in global equities and ETFs.</w:t>
      </w:r>
    </w:p>
    <w:p>
      <w:pPr>
        <w:pStyle w:val="TextBody"/>
        <w:bidi w:val="0"/>
        <w:spacing w:before="0" w:after="0"/>
        <w:ind w:left="0" w:right="0" w:firstLine="45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matching of client orders in our ATSs, including Virtu MatchIt, POSIT ATS, and POSIT MTF. MatchIt provides two crossing sessions, a Main Session and a Conditional Session. The Main Session provides continuous crossing with price/time priority and is available to our subsidiaries and external subscribers. The Conditional Session accepts conditional orders with price/size priority, and is only available to our subsidiaries. POSIT provides continuous crossing of non</w:t>
        <w:noBreakHyphen/>
        <w:t>displayed (or dark) equity orders and price improvement opportunities within the published best bid and offer price. POSIT Alert is a block crossing mechanism within POSIT. POSIT Alert unites liquidity sourced directly from trader OMSs with conditional orders from electronic participants for matching using a conditional order process. In addition, POSIT MTF Auction provides frequent batch auctions which display indicative size/price prior to trade execution.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222222"/>
          <w:sz w:val="20"/>
        </w:rPr>
      </w:pPr>
      <w:r>
        <w:rPr>
          <w:rFonts w:ascii="Times New Roman;sans-serif" w:hAnsi="Times New Roman;sans-serif"/>
          <w:b/>
          <w:i/>
          <w:color w:val="222222"/>
          <w:sz w:val="20"/>
        </w:rPr>
        <w:t>Workflow Technology</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workflow technology tools are designed to meet the needs of a broad range of trading styles. As an example, Triton Valor, the most recent release of our multi</w:t>
        <w:noBreakHyphen/>
        <w:t>asset and broker</w:t>
        <w:noBreakHyphen/>
        <w:t>neutral Triton EMS, helps to bring integrated execution and analytical tools to the user’s desktop, including the Algo Wheel, an algorithmic way for a portfolio manager to intelligently allocate volume between different providers. Triton supports global list</w:t>
        <w:noBreakHyphen/>
        <w:t>based and single</w:t>
        <w:noBreakHyphen/>
        <w:t>stock trading, as well as futures and options capabilities and includes ITG Net, a fully integrated and supported financial services communications network. Triton also provides traders with access to scalable, low</w:t>
        <w:noBreakHyphen/>
        <w:t>latency, multi</w:t>
        <w:noBreakHyphen/>
        <w:t>asset trading opportunities. Our OMS combines portfolio management, compliance functionality, and a fully integrated and supported financial services communications network (ITG Net) with a consolidated, outsourced service for global trade matching and settlement that provides connectivity to the industry’s post</w:t>
        <w:noBreakHyphen/>
        <w:t>trade utilities, as well as support for multiple, flexible settlement communication methods and a real</w:t>
        <w:noBreakHyphen/>
        <w:t>time process monitor.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ITG Net is our global financial communications network that provides reliable and fully-supported connectivity between buy</w:t>
        <w:noBreakHyphen/>
        <w:t>side and sell</w:t>
        <w:noBreakHyphen/>
        <w:t>side firms for multi</w:t>
        <w:noBreakHyphen/>
        <w:t>asset order routing and indication</w:t>
        <w:noBreakHyphen/>
        <w:t>of</w:t>
        <w:noBreakHyphen/>
        <w:t>interest messages with Virtu and third</w:t>
        <w:noBreakHyphen/>
        <w:t>party trading platforms. ITG Net supports approximately 9,000 global billable connections to more than 600 unique execution destinations worldwide. ITG Net also integrates the trading products of third</w:t>
        <w:noBreakHyphen/>
        <w:t>party brokers and ATSs into our OMS and EMS platforms.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RFQ</w:t>
        <w:noBreakHyphen/>
        <w:t>hub, a multi</w:t>
        <w:noBreakHyphen/>
        <w:t>asset platform for global listed and over</w:t>
        <w:noBreakHyphen/>
        <w:t>the</w:t>
        <w:noBreakHyphen/>
        <w:t>counter (“OTC”) financial instruments, connects buy</w:t>
        <w:noBreakHyphen/>
        <w:t>side trading desks and portfolio managers with a large network of sell</w:t>
        <w:noBreakHyphen/>
        <w:t>side market makers in Europe, North America and the APAC region, allowing these trading desks to place requests</w:t>
        <w:noBreakHyphen/>
        <w:t>for</w:t>
        <w:noBreakHyphen/>
        <w:t>quotes (“RFQ”) in negotiated equities, futures, options, swaps, convertible bonds, structured products and commodities. RFQ</w:t>
        <w:noBreakHyphen/>
        <w:t>hub is available as a stand</w:t>
        <w:noBreakHyphen/>
        <w:t>alone platform and is also integrated with Triton. In May 2022, we formed a consortium of strategic partners and investors to own and support the growth of the RFQ-hub business.</w:t>
      </w:r>
      <w:r>
        <w:rPr>
          <w:color w:val="000000"/>
        </w:rPr>
        <w:t xml:space="preserve"> </w:t>
      </w:r>
      <w:r>
        <w:rPr>
          <w:rFonts w:ascii="Times New Roman;sans-serif" w:hAnsi="Times New Roman;sans-serif"/>
          <w:b w:val="false"/>
          <w:color w:val="000000"/>
          <w:sz w:val="20"/>
        </w:rPr>
        <w:t>Through a series of related transactions, we sold a substantial minority interest in the business to multiple strategic partners and have maintained a majority ownership interest.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offer administration and consolidation of client commission arrangements across a wide range of our clients’ preferred brokerage and research providers through Commission Manager, a robust, multi</w:t>
        <w:noBreakHyphen/>
        <w:t>asset, web</w:t>
        <w:noBreakHyphen/>
        <w:t>based commission management portal, and Budget Tracker, which enables asset managers to set research allocations and create and track budgets for their end clients. We also offer a comprehensive research payment account solution, enabling clients to unbundle research and execution payments to comply with the European Markets in Financial Instruments Directive (“MiFID”) II regulations.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222222"/>
          <w:sz w:val="20"/>
        </w:rPr>
      </w:pPr>
      <w:r>
        <w:rPr>
          <w:rFonts w:ascii="Times New Roman;sans-serif" w:hAnsi="Times New Roman;sans-serif"/>
          <w:b/>
          <w:i/>
          <w:color w:val="222222"/>
          <w:sz w:val="20"/>
        </w:rPr>
        <w:t>Analytics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trading analytics suite helps enable portfolio managers and traders to analyze execution performance before the trade happens (pre</w:t>
        <w:noBreakHyphen/>
        <w:t>trade) and during trading (real</w:t>
        <w:noBreakHyphen/>
        <w:t>time) by providing trading analytics and risk models that help them perform predictive analysis, manage risk, change strategy and reduce trading costs. Trading costs are affected by multiple factors, such as execution strategies, time horizon, volatility, spread, volume and order size. Our trading analytics suite is designed to gauge the effects of these factors and aid in the understanding of the trade</w:t>
        <w:noBreakHyphen/>
        <w:t>off between market impact and opportunity cost. For example, our transaction cost analysis (“TCA”) offers measurement and reporting capabilities to analyze costs and performance across the trading continuum. TCA assesses trading performance and implicit costs under various market conditions so users can adjust strategies and potentially reduce costs and boost investment performance. TCA is also available for foreign exchange transactions (FX TCA) and for corporate and sovereign bond trading (FI TCA).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Corporate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segment contains investments principally in strategic financial services-oriented opportunities and maintains corporate overhead expenses and all other income and expenses that are not attributable to our operating segments.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acutely focused on risk management. Our market making activities involve taking on risk positions and our execution services business involves providing trading, clearing and related services on behalf of customers and clients. These activities expose us to market, counterparty, operational, and regulatory risk. We aim to mitigate these risks through prudent risk management practices.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senior risk personnel who report independently into the Board Risk Committee. We also have a Risk Advisory Committee, which includes key personnel from each of our regions globally and is comprised of our senior risk personnel, members of our senior management team, senior technologists and traders, and certain other senior officers. Our Risk Advisory Committee provides advice to our senior management team in connection with our key risk management policies, procedures and risk limits. Our Board of Directors, through the Board Risk Committee, is periodically apprised of risk events, risk profiles, trends and the activities of our Risk Advisory Committee, including our risk management policies, procedures and controls.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approach to managing risk includes the following practices: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Pre-Trade Risk Controls</w:t>
      </w:r>
      <w:r>
        <w:rPr>
          <w:rFonts w:ascii="Times New Roman;sans-serif" w:hAnsi="Times New Roman;sans-serif"/>
          <w:b w:val="false"/>
          <w:color w:val="000000"/>
          <w:sz w:val="20"/>
        </w:rPr>
        <w:t xml:space="preserve">. Messages that leave our trading environment must first pass through a series of preset risk controls, which are intended to minimize the likelihood of unintended activities by our algorithms. Certain risk controls, when triggered, result in a strategy lockdown, which requires a manual reset in order to restart the strategy.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Model Restrictions</w:t>
      </w:r>
      <w:r>
        <w:rPr>
          <w:rFonts w:ascii="Times New Roman;sans-serif" w:hAnsi="Times New Roman;sans-serif"/>
          <w:b w:val="false"/>
          <w:color w:val="000000"/>
          <w:sz w:val="20"/>
        </w:rPr>
        <w:t>. Trading models have limits in place which restrict individual position sizes, sector exposures and imbalanced portfolios with significant directional risks. Trading strategies are designed to automatically reduce exposures when limits are reached. The models are monitored continuously by the trading team and the risk managers.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Aggregate Exposure Monitoring. </w:t>
      </w:r>
      <w:r>
        <w:rPr>
          <w:rFonts w:ascii="Times New Roman;sans-serif" w:hAnsi="Times New Roman;sans-serif"/>
          <w:b w:val="false"/>
          <w:color w:val="000000"/>
          <w:sz w:val="20"/>
        </w:rPr>
        <w:t>Pursuant to our risk management policies, our automated management information systems monitor in real</w:t>
        <w:noBreakHyphen/>
        <w:t xml:space="preserve">time and generate reports on daily and periodic bases. Exposures monitored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 Profiles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Statistical Risk Measures including Value at Risk (“VaR”), and Equity Betas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Stress and Scenario analysis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Concentration measures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Profit and Loss analysis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Trading performance reports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trading assets and liabilities are marked</w:t>
        <w:noBreakHyphen/>
        <w:t>to</w:t>
        <w:noBreakHyphen/>
        <w:t>market daily for financial reporting purposes by reference to official exchange prices, and they are re</w:t>
        <w:noBreakHyphen/>
        <w:t>valued continuously throughout the trading day for risk management and asset/liability management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Operational Controls. </w:t>
      </w:r>
      <w:r>
        <w:rPr>
          <w:rFonts w:ascii="Times New Roman;sans-serif" w:hAnsi="Times New Roman;sans-serif"/>
          <w:b w:val="false"/>
          <w:color w:val="000000"/>
          <w:sz w:val="20"/>
        </w:rPr>
        <w:t>We have a series of automated controls over our business. Key automated controls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technical operations system continuously monitors our network and the proper functioning of each of our trading centers around the world;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market making system continuously evaluates the listed securities and other financial products in which we provide bid and offer quotes and changes its bids and offers to reflect changes in market conditions. The latency of communicating with exchanges and market centers is reduced through continuous software and network engineering innovation, allowing us to achieve real</w:t>
        <w:noBreakHyphen/>
        <w:t xml:space="preserve">time controls over market exposure. We connect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exchanges and other electronic venues through a network of co</w:t>
        <w:noBreakHyphen/>
        <w:t>location facilities around the world that are monitored 24 hours a day, five days a week, by our staff of experienced network professionals;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clearing system captures trades in real-time and performs automated reconciliations of trades and positions, corporate action processing, options exercises, securities lending and inventory management, allowing us to effectively manage operational risk;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Software developed to support our market making systems performs daily profit and loss and position reconciliations.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conduct after event reviews where operational issues are evaluated and risk mitigations are identified and subsequently implemented.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Credit Controls</w:t>
      </w:r>
      <w:r>
        <w:rPr>
          <w:rFonts w:ascii="Times New Roman;sans-serif" w:hAnsi="Times New Roman;sans-serif"/>
          <w:b w:val="false"/>
          <w:color w:val="000000"/>
          <w:sz w:val="20"/>
        </w:rPr>
        <w:t>. Trading notional limits are applied to customers and counterparts. These are monitored throughout the day by trading support and risk professionals.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Liquidity Controls</w:t>
      </w:r>
      <w:r>
        <w:rPr>
          <w:rFonts w:ascii="Times New Roman;sans-serif" w:hAnsi="Times New Roman;sans-serif"/>
          <w:b w:val="false"/>
          <w:color w:val="000000"/>
          <w:sz w:val="20"/>
        </w:rPr>
        <w:t>. We seek to minimize liquidity risk by focusing in highly active and liquid instruments. Less liquid instruments are identified and restrictions are in place as to the size of positions we hold in such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approach to risk mitigation can in some cases limit our overall opportunities, including by adding a degree of latency to our trading infrastructure which can, for example, prevent us from earning outsized returns in times of extreme market volatility. We believe that these trade-offs are necessary to properly limit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leverage technology and automation to perform many functions within Virtu. Cyber threats are a risk that we are exposed to as a result of our heavy utilization of technology. These threats could include the introduction of malicious code or unauthorized access, and could result in data loss or destruction, business interruption, financial loss, and the unavailability of service and other risks. We have taken steps to mitigate the various cyber threats, and we devote resources to maintain and regularly upgrade our systems and networks and review the ever-changing threat landscape. Cybersecurity risk is managed as part of our overall information technology risk framework under the direction of our Chief Information Security Officer. We periodically review policies and procedures to seek to ensure they are effective in mitigating current cyber and other information security threats. In addition to the policy reviews, we continue to look to implement solutions that enhance preventive and detection capabilities. We also maintain insurance coverage that may, subject to policy terms and conditions, cover certain aspects of cyber risks. However, such insurance may be insufficient to cover all losses or may not provide any coverage.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services industry generally, and the institutional securities brokerage business in which we operate, are extremely competitive, and we expect them to remain so for the foreseeable future. Our full suite of products does not directly compete with any particular firm; however, individual products compete with various firms and consortia.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Within the market making segment, our competition has been registered market making firms ranging from sole proprietors with very limited resources to large, integrated broker</w:t>
        <w:noBreakHyphen/>
        <w:t xml:space="preserve">dealers. Today, a range of market participants may compete with us for revenues generated by market making activities across one or more asset classes and geographies, including market participants, such as Citadel Securities, Susquehanna International Group LLP, Two Sigma, Jane Street, DRW Holdings, IMC, and Optiver.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execution services segment, our low-touch agency algorithmic execution and smart order routing products, as well as our high</w:t>
        <w:noBreakHyphen/>
        <w:t>touch agency execution and portfolio trading services, compete with agency</w:t>
        <w:noBreakHyphen/>
        <w:t>only and other sell</w:t>
        <w:noBreakHyphen/>
        <w:t>side firms. Our trading and portfolio analytics compete with offerings from several sell</w:t>
        <w:noBreakHyphen/>
        <w:t>side</w:t>
        <w:noBreakHyphen/>
        <w:t>affiliated and independent companies. Our POSIT and MatchIt ATSs compete with various national and regional securities exchanges, ATSs, Electronic Communication Networks, MTFs and systematic internalizers for trade execution services. Our EMS, OMS, connectivity and RFQ services compete with offerings from independent vendors, agency</w:t>
        <w:noBreakHyphen/>
        <w:t>only firms and other sell</w:t>
        <w:noBreakHyphen/>
        <w:t xml:space="preserve">side firms.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competitors in market making and execution services are larger than we are and have more captive order flow in certain assets. Technology and software innovation is a primary focus for us, rather than relying solely on the speed of our network. We believe that our scalable technology allows us to access new markets and increase volumes with limited incremental costs.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Intellectual Property and Other Proprietary Rights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federal, state and international laws that govern trade secrets, trademarks, domain names, patents, copyright and contract law to protect our intellectual property and proprietary technology. We enter into confidentiality, intellectual property invention assignment and/or non</w:t>
        <w:noBreakHyphen/>
        <w:t>competition and non</w:t>
        <w:noBreakHyphen/>
        <w:t>solicitation agreements or restrictions with our employees, independent contractors and business partners, and we control access to, and distribution of, our intellectual property.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 2024, we had approximately 975 employees, located in nine countries around the world, all of whom were employed on a full</w:t>
        <w:noBreakHyphen/>
        <w:t xml:space="preserve">time basis and in good standing. The approximate regional representation of our workforce is as follows: 71% Americas, 19% EMEA and 10% APAC. None of our employees are covered by collective bargaining agreements. We believe that our employee relations are good.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shaping our culture, we aim to combine a high standard of excellence, technological innovation and agility and operational and financial discipline. We believe that our flat and transparent structure and our collaborative and collegial approach enable our employees to grow, develop and maximize their impact on our organization. To attract and retain top talent in our highly competitive industry, we have designed our compensation and benefits programs to promote the retention and growth of our employees along with their health, well-being and financial security. Our short- and long-term incentive programs are aligned with key business objectives and are intended to motivate strong performance. Our employees are eligible for medical, dental and vision insurance, a savings/retirement plan, life and disability insurance, and various wellness programs and we review the competitiveness of our compensation and benefits periodically. As an equal opportunity employer, all qualified applicants receive consideration without regard to race, national origin, gender, gender identity, sexual orientation, protected veteran status, disability, age or any other legally protected status.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create an inclusive, equitable, culturally competent, and supportive environment where our management and employees model behavior that enriches our workplace. In 2020, we formed a Diversity and Inclusion Committee (now known as the Diversity, Equity and Inclusion Committee, the “DE&amp;I Committee”) to help further these goals and objectives. The DE&amp;I Committee has focused on broadening recruitment efforts, increasing awareness of diversity and inclusiveness related issues through internal trainings and communications, and internal and external mentorship, including mentorships with New York City high school students. Additionally, we have hosted an annual Women's Winternship program since 2019, which provides a week-long internship program aimed at introducing sophomore-level female college students to a career path in financial services and features instructors across the Company from various business lines and disciplines.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U.S. equities and options market making and provide execution services through VAL, our SEC</w:t>
        <w:noBreakHyphen/>
        <w:t>registered broker</w:t>
        <w:noBreakHyphen/>
        <w:t>dealer. VAL is regulated by the SEC and its designated examining authority is the Financial Industry Regulatory Authority, Inc. (“FINRA”). VAL is also registered as a floor trader firm with the Commodity Futures Trading Commission (“CFTC”).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full clearing member of the National Securities Clearing Corporation (“NSCC”) and the Depository Trust &amp; Clearing Corporation (“DTCC”). Our activities in U.S. equities are both self</w:t>
        <w:noBreakHyphen/>
        <w:t>cleared and rely on fully-disclosed clearing arrangements with third-party clearing firms. We use the services of prime brokers, primarily in other asset classes, who provide us direct market access to markets and often cross</w:t>
        <w:noBreakHyphen/>
        <w:t>margining and margin financing in return for execution and clearing fees. We continually monitor the credit quality of our prime brokers and rely on large multinational banks for most of our execution and clearing needs globally.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energy, commodities and currency market making and trading activities are primarily conducted through Virtu Financial Global Markets LLC.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European, Middle Eastern and African (“EMEA”) market making activities from Dublin and through our subsidiary Virtu Financial Ireland Limited (“VFIL”), which is authorized as an “Investment Firm” with the CBI. We conduct our EMEA execution services trading activity from Dublin, London, and Paris through our subsidiary Virtu Europe Trading Limited (“VETL”) (f/k/a Virtu ITG Europe Limited). VETL is authorized and regulated by the CBI as an “Investment Firm” and maintains branch offices in London and Paris. The London branch office of VETL is authorized and regulated by the FCA. VETL's Paris branch is registered with the Banque de France. VETL also operates a multi-lateral trading facility (“MTF”)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Ireland and Virtu ITG UK Limited (“VIUK”), a U.K. investment firm, operates a MTF in the U.K. VIUK is an investment firm which is authorized and regulated by the FCA.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APAC market making activities, including much of our market making in cryptocurrency products from Singapore and through our Singapore subsidiary, Virtu Financial Singapore Pte. Ltd. Virtu Financial Singapore Pte. Ltd. is registered with the MAS for an investment incentive arrangement. We conduct our APAC execution services trading activities from Singapore, Hong Kong, and Australia through our subsidiaries Virtu ITG Singapore Pte. Limited, Virtu ITG Hong Kong Limited, and Virtu ITG Australia Limited. Virtu ITG Singapore Pte. Limited is a holder of a Capital Markets Services License from the MAS, which is its principal regulator. Virtu ITG Hong Kong Limited is a participating organization of the Hong Kong Stock Exchange and a holder of a securities dealer’s license issued by the SFC, which is its principal regulator. Virtu ITG Australia Limited is a market participant of the Australian Securities Exchange (“ASX”) and Chi-X Australia Limited, and is also a holder of an Australian Financial Services License issued by the ASIC. Virtu ITG Australia Limited’s principal regulators are the ASX and ASIC.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Canadian market making activities and our Canadian execution services trading activities are conducted through our subsidiary Virtu Canada Corp (f/k/a Virtu ITG Canada Corp.). Virtu Canada Corp. is a Canadian broker</w:t>
        <w:noBreakHyphen/>
        <w:t xml:space="preserve">dealer registered as an investment dealer with CIRO, Ontario Securities Commission (“OSC”), the Autorité Des Marchés Financiers in Quebec, Alberta Securities Commission (“ASC”), British Columbia Securities Commission, Manitoba Securities Commission, New Brunswick Securities Commission, Nova Scotia Securities Commission and Saskatchewan Financial Services Commission. Virtu Canada Corp. is also registered as a Futures Commission Merchant in Ontario and Manitoba and Derivatives Dealer in Quebec.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Most aspects of our business are subject to regulation under federal, state and foreign laws and regulations, as well as the rules of the various self-regulatory organization (“SROs”) of which our broker-dealer subsidiaries are members. The SEC, FINRA, CFTC, NFA, U.S. state securities regulators, the European Securities and Markets Authority (“ESMA”) in the European Union, the CBI in Ireland, FCA in the U.K., Banque de France in France, MAS in Singapore, SFC in Hong Kong, ASX and ASIC in Australia, CIRO and OSC in Canada, other SROs and other U.S. and foreign governmental regulatory bodies promulgate numerous rules and regulations that may impact our business. As a matter of public policy, regulatory bodies are charged with safeguarding the integrity of the securities and other financial markets and with protecting the interests of investors in those markets, including, but not limited to, trading practices, order handling, best execution practices, anti</w:t>
        <w:noBreakHyphen/>
        <w:t>money laundering and financial crimes, handling of material non</w:t>
        <w:noBreakHyphen/>
        <w:t>public information, safeguarding data, compliance with exchange and clearinghouse rules, capital adequacy, customer protection, reporting, record retention, market access and the conduct of officers, employees and other associated persons.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Rulemaking by these and other regulators (foreign and domestic), including resulting market structure changes, has had an impact on our regulated subsidiaries by directly affecting our method of operation and, at times, our profitability. Legislation can impose, and has imposed, significant obligations on broker</w:t>
        <w:noBreakHyphen/>
        <w:t xml:space="preserve">dealers, including our regulated subsidiaries. These increased obligations require the implementation and maintenance of internal practices, procedures and controls, and the need for additional employee resources, and have increased our costs, and may subject us to government and regulatory inquiries, claims or penalties. Changes in market structure can also necessitate restructuring our operations for compliance in certain jurisdictions which has cost implications.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Failure to comply with any laws, rules or regulations could result in administrative or court proceedings, censures, fines, penalties, judgments, disgorgement, restitution and censures, suspension or expulsion from a certain jurisdiction, SRO or market, the revocation or limitation of licenses and/or business activities, the issuance of cease</w:t>
        <w:noBreakHyphen/>
        <w:t>and</w:t>
        <w:noBreakHyphen/>
        <w:t>desist orders or injunctions or the suspension or disqualification of the entity and/or its officers, employees or other associated persons. From time to time, we are the subject of requests for information and documents from the SEC, FINRA and other regulators which could lead to administrative or court proceedings. It is our practice to cooperate and comply with the requests for information and documents. Regulatory inquiries can require substantial expenditures of time and money and can have an adverse impact on our reputation, customer relationship and profitability.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environment in which we operate is subject to constant change. Our business, financial condition and operating results may also be adversely affected as a result of new or revised legislation or regulations imposed by the U.S. Congress, foreign legislative bodies, state securities regulators, U.S. and foreign governmental regulatory bodies and SROs. Additional regulations, changes in existing laws and rules, or changes in interpretations or enforcement of existing laws and rules often directly affect the method of operation and profitability of regulated broker</w:t>
        <w:noBreakHyphen/>
        <w:t xml:space="preserve">dealers. We cannot predict what effect, if any, future legislative or regulatory changes might have. However, there have been in the past, and could be in the future, significant technological, operational and compliance costs associated with the obligations which derive from compliance with such regulations. Regulators may propose market structure changes particularly considering the continued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ATSs and off-exchange trading more generally, high frequency trading, short selling, market fragmentation, colocation, and access to market data feeds.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SEC and other SROs have enacted and are actively considering rules that may affect our operations and profitability. Specifically, the SEC has proposed several rule changes focused on equity market structure reform. These proposals include, but are not limited to, (i) Proposed Rule 615 of Regulation NMS, which proposes to dramatically change the U.S. equities market structure, the routing, handling and potentially the amount, character, and cost of retail order flow, (ii) Regulation Best Execution, which would impose best execution requirements on broker-dealers which would be distinct from, but overlapping with, FINRA’s existing best execution rule (Rule 5310), (iii) proposed rule amendments to minimum pricing increments under Rule 612 or Regulation NMS, access fee caps under Rule 610 of Regulation NMS, acceleration of implementation of certain Market Data Infrastructure Rules, and amendment to the odd-lot information definition adopted under the MDI rules (collectively referred to as the “tick size, access fees and infostructure rule proposals”), (iv) proposed amendments to Rule 605 of Regulation NMS, along with a series of amendments to the definition of Exchange and Alternative Trading Systems (ATS), which would expand the scope of exchange and ATS registration and compliance requirements. If adopted, these or other potential rule changes may alter the market structure for NMS securities in ways that would disfavor the current competing market center model and lessen the amount of volume executed off-exchange in favor of a central limit order book model or other centralized model for order interaction. Proposed revisions to SEC Rule 3b-16, Regulation ATS, and Regulation SCI would increase the number of technology platforms that meet the definition of an exchange and would then be required to register as an exchange or alternatively operate as an ATS, and/or operate under the more complex and costly Regulation SCI regime. Proposed changes to Regulation ATS would revise the format of Form ATS required to be filed and would impose additional disclosures and costs to rewrite and refile those forms. Recently adopted amendments to the definitions of “dealer” and “government securities dealer” under the Exchange Act are expected to increase the scope and breadth of these registrant categories. These changes and others may impose additional technological, operational and compliance costs on us and creates uncertainty with regard to their effects.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21, 2010, the Dodd</w:t>
        <w:noBreakHyphen/>
        <w:t>Frank Act was enacted in the U.S. Implementation of the Dodd</w:t>
        <w:noBreakHyphen/>
        <w:t>Frank Act has been accomplished through extensive rulemaking by the SEC, the CFTC and other governmental agencies. The Dodd</w:t>
        <w:noBreakHyphen/>
        <w:t>Frank Act includes the “Volcker Rule,” which significantly limits the ability of banks and their affiliates to engage in proprietary trading, and Title VII, which provides a framework for the regulation of the swap markets. One of our subsidiaries is registered with the CFTC as a floor trader, and is exempt from registration as a swap dealer based on its current activity. Registration as a swap dealer would subject our subsidiary to various requirements, including those related to capital, conduct, and reporting.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foreign subsidiaries and plan to continue to expand our international presence. The market making and execution services industry in many foreign countries is heavily regulated, much like in the U.S. The varying compliance requirements of these different regulatory jurisdictions and other factors may limit our ability to conduct business or expand internationally. MiFID II represented significant change in the operation of European capital markets and became effective on January 3, 2018. MiFID II introduced requirements for increased pre- and post-trade transparency, technological and organizational requirements for firms deploying algorithmic trading techniques, restrictions on dark trading, and the roll out of a new bi-lateral OTC equity trading regime called the Systematic Internaliser regime. MiFID II contains detailed rules as to the types of platform upon which European equities trading can be conducted, including Regulated Markets, MTFs, Organized Trading Facilities, Systematic Internalisers or equivalent third-country venues. MiFID II also requires market makers, such as VFIL, to post firm quotes at competitive prices and contains supplemental requirements with regards to investment firms’ pre-trade risk controls relating to the safe operation of electronic systems. MiFID II also imposed additional requirements on trading platforms, such as additional technological requirements, clock synchronization, microsecond processing granularity, pre-trade risk controls, transaction reporting requirements and limits on the ratio of unexecuted orders to trades. The MiFID II regime is currently under review, with European Union authorities proposing to make further changes to the regime. In its communication on “The European economic and financial system: fostering openness, strength and resilience” of January 19, 2021, the European Commission confirmed its intention to propose to make changes with a view to improving simplifying and further harmonizing capital markets’ transparency as part of the review of the MiFID II and MiFIR framework. On December 21, 2022, the Council of the European Union published the texts of its general approach on the proposed regulation to amend MiFIR “as regards enhancing market data transparency, removing obstacles to the emergence of a consolidated tape, optimizing the trading obligations and amending Regulation (EU) No 575/2013 on prudential requirements for credit institutions and amending Regulation (EU) No 648/2012” and on the proposed directive “amending Directive 2014/65/EU on markets in financial instruments and amending Directive 2013/36/EU on access of the activity of credit institutions and the prudential supervision of credit institutions and investment firms, amending Directive 2002/87/EC and repealing Directives 2006/48/EC and 2006/49/EC”, each dated December 16, 2022; as well as publishing an “I” item note, also dated December 16, 2022, inviting the Council’s Permanent Representatives Committee to agree the text of the mandate for negotiations with European Parliament on the basis of the published general approaches, with a view to reaching agreement at first reading. The Council of the European Union further published an Information Note with respect to the “Proposal for a Regulation (EU) of the European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Parliament and of the Council of amending Regulation (EU) No 600/2014 as regards enhancing data transparency, removing obstacles to the emergence of consolidated tapes, optimizing the trading obligations and prohibiting receiving payments for forwarding client orders” and the “Proposal for the Directive (EU) 2023/ of the European Parliament and of the Council of amending Directive 2014/65/EU on markets in financial instruments”, dated October 18, 2023, which includes the final compromise texts for each proposed regulation. The Information Note details the draft overall compromise package as agreed by the Permanent Representatives’ Committee, with the Council of the European Union inviting the European Parliament to adopt its position at first reading in accordance with the compromise package, with a view to reaching an agreement and adopting the act at first reading. Further, in light of the U.K.’s withdrawal of its membership from the E.U., which is commonly referred to as “Brexit,” the passporting regime under MiFID II, which enables firms to provide services to countries across the E.U., no longer encompasses the U.K. VFIL and VETL continue to access U.K. markets, however, these entities do so not on the basis of MiFID passporting rights, but as third-country entities pursuant to U.K. law. Following Brexit, VETL had continued initially to service its U.K. client-base by means of the U.K. FCA’s Temporary Permissions Regime, pursuant to which its former MiFID branch was deemed to be authorized and regulated by the FCA under U.K. law. As of December 8, 2023, VETL’s application for its London branch to be authorized as a third-country branch was approved by the FCA, facilitating the long-term operational footprint of VETL’s branch in the U.K.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of these legislative and regulatory requirements imposes additional technological, operational and compliance costs on us. New laws, rules or regulations as well as any regulatory or legal actions or proceedings, changes in legislation or regulation and changes in market customs and practices could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noBreakHyphen/>
        <w:t>dealer and require that at least a minimum part of its assets be kept in relatively liquid form. Failure to maintain required minimum capital may subject a regulated subsidiary to a fine, requirement to cease conducting business, suspension, revocation of registration or expulsion by applicable regulatory authorities, and ultimately could require the relevant entity’s liquidation. See “Item 1A. Risk Factors - Risks Related to Our Business - Non-compliance with applicable laws or regulatory requirements could subject us to sanctions and could negatively impact our reputation, prospects, revenues and earnings.”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Corporate History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predecessors have been in the electronic trading and market making business for more than 20 years. We conduct our business through Virtu Financial LLC (“Virtu Financial”) and its subsidiaries. We completed our initial public offering (“IPO”) in April 2015, after which shares of our Class A common stock, par value $0.00001 per share (the “Class A Common Stock”) began trading on Nasdaq under the ticker symbol “VIRT.”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our IPO, we completed a series of reorganization transactions (the “Reorganization Transactions”) pursuant to which, among other things, we acquired equity interests in Virtu Financial as a result of certain mergers involving wholly owned subsidiaries of ours, an affiliate of Silver Lake Partners and Temasek Holdings (Private) Limited (“Temasek”), and an affiliate of Temasek (the “Temasek Pre-IPO Member”) (the “Mergers”), and in exchange we issued to an affiliate of Silver Lake Partners (such affiliate, the “Silver Lake Post-IPO Stockholder”) and an affiliate of Temasek (such affiliate, the “Temasek Post-IPO Stockholder”, and together with the Silver Lake Post-IPO Stockholder, the “Investor Post-IPO Stockholders”), shares of our Class A Common Stock and rights to receive payments under a tax receivable agreement described below, we became the sole managing member of Virtu Financial, all of the existing equity interests in Virtu Financial were reclassified into non-voting common interest units (“Virtu Financial Units”), our certificate of incorporation was amended and restated to authorize the issuance of four classes of common stock: Class A Common Stock, Class B Common Stock (as defined below), Class C Common Stock (as defined below) and Class D Common Stock (as defined below), and the holders of Virtu Financial Units other than us subscribed for shares of Class C common stock, par value $0.00001 per share (the “Class C Common Stock”) or Class D common stock, par value $0.00001 per share (the “Class D Common Stock”) (in the case of the Founder Post-IPO Member, as defined below) in an amount equal to the number of Virtu Financial Units held by such member.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Class A Common Stock and Class C Common Stock each provide holders with one vote on all matters submitted to a vote of stockholders, and the Class B Common Stock, par value $0.00001 per share (the “Class B Common Stock”) and Class D Common Stock each provide holders with 10 votes on all matters submitted to a vote of stockholders. The holders of Class C Common Stock and Class D Common Stock do not have any of the economic rights (including rights to dividends and distributions upon liquidation) provided to holders of Class A Common Stock and Class B Common Stock. Shares of our common stock generally vote together as a single class on all matters submitted to a vote of our stockholders.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completion of the IPO, the Reorganization Transactions, the July 2017 Private Placement (as defined below), and certain other secondary offerings and permitted exchanges by current and former employees of Virtu Financial Units for shares of the Company’s Class A Common Stock, the Company holds an approximately 57.8% interest in Virtu Financial at December 31, 2023. The remaining issued and outstanding Virtu Financial Units are held by an affiliate of Mr. Vincent Viola (the “Founder Post-IPO Member”), two entities whose equity holders include certain current and former members of the management of Virtu Financial, and certain other current and former members of management of Virtu Financial (collectively, the “Virtu Post-IPO Members”). The Founder Post-IPO Member controls approximately 86.5% of the combined voting power of our outstanding common stock as of December 31, 2023. As a result, the Founder Post-IPO Member controls any actions requiring the general approval of our stockholders, including the election of our Board of Directors, the adoption of amendments to our certificate of incorporation and bylaws and the approval of any merger or sale of substantially all of our assets. The Founder Post-IPO Member is controlled by family members of Mr. Viola, our Founder and Chairman Emeritus.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two significant acquisitions that have expanded and complemented Virtu Financial's original electronic trading and market making business. On July 20, 2017 (the “KCG Closing Date”), the Company completed the all-cash acquisition (the “Acquisition of KCG”) of KCG Holdings, Inc. (“KCG”) and on March 1, 2019 (the “ITG Closing Date”), we completed our acquisition of Investment Technology Group, Inc. (“ITG”) in an all-cash transaction (the “ITG Acquisition”).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www.virtu.com. The information on our website is not, and shall not be deemed to be, a part of this Annual Report on Form 10-K or incorporated into any other filings we make with the SEC. Our Annual Reports on Form 10-K, Quarterly Reports on Form 10-Q, Current Reports on Form 8-K and amendments to those reports filed or furnished pursuant to Section 13(a) or 15(d) of the Securities Exchange Act of 1934, as amended (the “Exchange Act”) are available free of charge on our website as soon as possible after we electronically file them with, or furnish them to, the SEC.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Our Investor Relations Department can be contacted at Virtu Financial, Inc., </w:t>
      </w:r>
      <w:r>
        <w:rPr>
          <w:rFonts w:ascii="Times New Roman;sans-serif" w:hAnsi="Times New Roman;sans-serif"/>
          <w:b w:val="false"/>
          <w:color w:val="242424"/>
          <w:sz w:val="20"/>
        </w:rPr>
        <w:t>163</w:t>
      </w:r>
      <w:r>
        <w:rPr>
          <w:rFonts w:ascii="Times New Roman;sans-serif" w:hAnsi="Times New Roman;sans-serif"/>
          <w:b w:val="false"/>
          <w:color w:val="000000"/>
          <w:sz w:val="20"/>
        </w:rPr>
        <w:t>3 Broadway, New York, NY, 10019, Attn: Investor Relations, e-mail: investor_relations@virtu.com.</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use our website, public conference calls, and social media channels, including our Twitter account (twitter.com/virtufinancial), our LinkedIn account (linkedin.com/company/virtu-financial), and our Instagram account (instagram.com/virtu.financial), as additional means of disclosing public information to investors, the media and others interested in us. It is possible that certain information we post on our website and on social media could be deemed to be material information, and we encourage investors, the media and others interested in us to review the business and financial information we post on our website and on the social media channels identified above. The information on our website and our social media channels is not incorporated by reference into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summary of risks below provides an overview of the principal risks we are exposed to in the normal course of our business activities. This summary does not contain all of the information that may be important to you, and you should read the more detailed discussion of risks that follows this summary.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Business and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revenues and profitability depend on trading volume, volatility, retail participation and other characteristics in the markets in which we operate and the order flow with which we interact and therefore are subject to factors beyond our control, are prone to significant fluctuations and are difficult to predict.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dependent upon our trading counterparties, clients and clearing houses to perform their obligations to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incur losses in our market making activities and our execution services businesses due to failures of our customized trading platform, due to market risk or from a lack of perfect information.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valuation of the securities we hold at any particular time may result in large and occasionally anomalous swings in the value of our positions and in our earnings in any period.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face substantial competition and other competitive dynamics which could harm our financial performance.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market making business is concentrated in U.S. equities; accordingly, our operating results may be negatively impacted by changes that affect the U.S. equity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could lose significant sources of revenues if we lose any of our larger clients or sources of order flow or lose access to an important exchange or other trading venue or if we fail to adapt to proposed new regulations, should they become final rules.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subject to liquidity risk in our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Self</w:t>
        <w:noBreakHyphen/>
        <w:t>clearing and other elements of our trade processing expose us to operational, financial and liquidity risks.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a substantial amount of indebtedness, which could negatively impact our business and financial condition, and may limit our flexibility in operating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depend on our technology and our results may be negatively impacted if we cannot remain competitive.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reliance on our computer systems and software could expose us to material financial and reputational harm if any of our computer systems or software were subject to any material disruption or corruption.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could be the target of a significant cyber-attack, threat or incident that impairs internal systems, results in adverse consequences to information our system process, store or transmit or causes reputation or monetary damages as a consequence.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may be harmed by computer and communication systems malfunctions, human error, failures and delays.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or poor performance of third</w:t>
        <w:noBreakHyphen/>
        <w:t>party software, infrastructure or systems could adversely affect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use of open source software may expose us to additional risks.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protect our intellectual property rights or may be prevented from using intellectual property necessary for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currency exchange rates could negatively impact our earnings.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incur material losses on foreign exchange transactions entered into on behalf of clients and be exposed to material liquidity risk due to counterparty defaults or errors.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experience risks associated with future growth or expansion of our operations or acquisitions, strategic investments or dispositions of businesses, and we may never realize the anticipated benefits of such activities.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efforts to sell shares of our common stock or raise additional capital may be inhibited by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are dependent on the continued service of certain key executives, the loss or diminished performance of whom could have a material adverse effect on our business and our success depends, in part, on our ability to identify, recruit and retain skilled management and technical personnel.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may be subject to increased risks or business disruption, incur losses or suffer reputational harm in relation to or as a result of climate change.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Cryptocurrency is an emerging asset class that carries unique risk, including the risk of financial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Legal and Regulatory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and legal uncertainties could harm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Pending, proposed and other potential changes in laws and rules may adversely impact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Non</w:t>
        <w:noBreakHyphen/>
        <w:t>compliance with applicable laws or regulatory requirements could subject us to sanctions and could negatively impact our reputation, prospects, revenues and earnings.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subject to risks relating to litigation and potential securities law liability.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Proposed legislation in the European Union, the U.S. and other jurisdictions that would impose taxes on certain financial transactions could have a material adverse effect on our business and financial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exposed to risks associated with our international operations and expansion and failure to comply with laws and regulations applicable to such operations may increase costs, reduce profits, limit growth or subject us to liability.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Brexit continues to pose a risk of negatively impacting the global economy, financial markets and our business.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 connection with our historical acquisitions, the Company is subject to potential liabilities that could materially and adversely affect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Organization and Structure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are a holding company and our principal asset is our 57.8% of equity interest in Virtu Financial, and we are accordingly dependent upon distributions from Virtu Financial to pay dividends, if any, taxes and other expenses.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controlled by the Founder Post</w:t>
        <w:noBreakHyphen/>
        <w:t>IPO Member, whose interests in our business may be different than yours, and certain statutory provisions afforded to stockholders are not applicable to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be unable to remain in compliance with the covenants contained in our Credit Agreement and our obligation to comply with these covenants may adversely affect our ability to operate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exempt from certain corporate governance requirements since we are a “controlled company” within the meaning of the Nasdaq rules, and as a result our stockholders do not have the protections afforded by these corporate governance requirements.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required to pay the Virtu Post</w:t>
        <w:noBreakHyphen/>
        <w:t>IPO Members and the Investor Post</w:t>
        <w:noBreakHyphen/>
        <w:t>IPO Stockholders for certain tax benefits we may claim, and the amounts we may pay could be significant.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Class A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Substantial future sales of shares of our Class A common stock in the public market could cause our stock price to fall.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establish and maintain effective internal control over financial reporting could have a material adverse effect on our business, financial condition, results of operations and cash flows, and stock price.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intend to pay regular dividends to our stockholders, but our ability to do so may be limited by our holding company structure, contractual restrictions and regulatory requirements.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Provisions in our charter documents and certain rules imposed by regulatory authorities may delay or prevent our acquisition by a third party.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stock price may be volatile.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incur increased costs as a result of being a public company.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stock price and trading volume could decline as a result of inaccurate or unfavorable research, or the cessation of research coverage, about us or our business published by securities or industry analysts.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may incur losses as a result of unforeseen or catastrophic events, including the emergence of another pandemic, social unrest, terrorist attacks, extreme weather events or other natural disasters.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reported financial results depend on management’s selection of accounting methods and certain assumptions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revenues and profitability depend on trading volume, volatility, retail participation and other characteristics of the markets in which we operate and the order flow with which we interact, and therefore are subject to factors beyond our control, are prone to significant fluctuations and are difficult to predict.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revenues and profitability depend in part on the level of trading activity of securities, derivatives and other financial products on exchanges and in other trading venues in the U.S. and abroad, which are directly affected by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beyond our control, including economic and political conditions, regulatory changes, emergencies and pandemics, broad trends in business and finance and changes in the markets in which such transactions occur. Weaknesses in the markets in which we operate, including economic slowdowns in recent years, have historically resulted in reduced trading volumes for us. Declines in trading volumes generally result in lower revenues from market making and transaction execution activities. Lower levels of volatility generally have the same directional impact. Declines in market values of securities or other financial instruments can also result in illiquid markets, which can also result in lower revenues and profitability from market making and transaction execution activities. Lower price levels of securities and other financial instruments, as well as compressed bid/ask spreads, which often follow lower pricing, decreases in retail participation levels and other changes in market and/or order flow characteristics can further diminish the opportunities across markets we serve and order flow with which we interact, resulting in reduced revenues and profitability. These factors can also increase the potential for losses on securities or other financial instruments held in inventory and failures of buyers and sellers to fulfill their obligations and settle their trades, as well as claims and litigation. Declines in the trading activity of institutional or “buy-side” market participants may result in lower revenue and/or diminished opportunities for us to earn commissions from execution activities. Any of the foregoing factors could have a material adverse effect on our business, financial condition, results of operations and cash flows. In the past, our revenues and operating results have varied significantly from period to period due primarily to movements and trends in the underlying markets and to fluctuations in trading volumes and volatility levels. As a result, period to period comparisons of our revenues and operating results may not be meaningful, and future revenues and profitability may be subject to significant fluctuations or declines.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dependent upon our trading counterparties, clients and clearing houses to perform their obligations to us.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consists of providing consistent two</w:t>
        <w:noBreakHyphen/>
        <w:t>sided liquidity to market participants across numerous geographies and asset classes as well as providing trade execution and related services to clients.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Further, one or more counterparties or clients may suffer liquidity or solvency challenges as a result of internal or other idiosyncratic events, and this may prevent these counterparties or clients, and potentially their counterparties or clients, from meeting their obligations to us. Following the implementation of certain mandates under the Dodd</w:t>
        <w:noBreakHyphen/>
        <w:t>Frank Act in the U.S. and similar legislation worldwide, many trades in the securities and futures markets, though not all, and an increasing number of trades in the over</w:t>
        <w:noBreakHyphen/>
        <w:t>the</w:t>
        <w:noBreakHyphen/>
        <w:t>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 house’s risk management methodology will be adequate to manage one or more defaults. Given the concentration of counterparty performance risk that is concentrated in central clearing parties, any failure by a clearing 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incur losses in our market making activities and our execution services businesses due to failures of our customized trading platform, due to market risk or from a lack of perfect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is substantially dependent on the accuracy and performance of our customized trading platform, which evaluates and monitors the risks inherent in our market making strategies and execution services business, assimilates market data and reevaluates our outstanding quotes and positions continuously throughout the trading day. Our strategies are designed to automatically rebalance our positions throughout the trading day to manage risk exposures on our positions. Flaws in our strategies, order management system, risk management processes, latencies or inaccuracies in the market data that we use to generate our quotes, or human error in managing risk parameters or other strategy inputs, may lead to unexpected and unprofitable trades, which may result in material trading losses and could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are derived from our trading as principal in our role as a formal or registered market maker and liquidity provider on various exchanges and markets, as well as direct to customer market making. We may incur trading losses relating to these activities since each primarily involves the purchase, sale or short sale of securities, futures and other financial instruments for our own account. In any period, we may incur significant trading losses for a variety of reasons, including price changes, performance, size and volatility of portfolios we may hold in connection with our customer market making activities, lack of liquidity in instruments in which we have positions and the required performance of our market making obligations. Furthermore, we may from time to time develop large position concentrations in securities or other financial instruments of a single issuer or issuers engaged in a specific industry, or alternatively a single future or other financial instrument, which would result in the risk of higher trading losses than if our concentration were lower.</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may limit or restrict, for example, our ability to either resell securities we have purchased or to repurchase securities we have sold. In addition, we may experience difficulty borrowing securities to make delivery to purchasers to whom we have sold securities short or lenders from whom we have borrowed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our role as a market maker, we attempt to derive a profit from bid/ask spreads. However, competitive forces often require us to match or improve upon the quotes that other market makers display, thereby narrowing bid/ask spreads, and to hold long or short positions in securities, futures or other financial instruments. We may at times trade with others who have information that may be more accurate or complete than the information we have, and as a result we may accumulate unfavorable positions preceding large price movements in a given instrument. We cannot assure you that we will be able to manage these risks successfully or that we will not experience significant losses from such activities, which could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risk management activities related to our on exchange market making strategies utilize a four</w:t>
        <w:noBreakHyphen/>
        <w:t>pronged approach, consisting of strategy lockdowns, centralized strategy monitoring, aggregate exposure monitoring and operational controls. In particular, messages that leave our trading environment first must pass through a series of preset risk controls or “lockdowns” that are intended to minimize the likelihood of unintended activities. In certain cases, this layer of risk management, which adds a layer of latency to our process, may limit our ability to profit from acute volatility in the markets. This would be the case, for example, where a particular strategy being utilized by one of our traders is temporarily locked down for generating revenue in excess of the preset risk limit. Even if we are able to quickly and correctly identify the reasons for a lockdown and quickly resume the trading strategy, we may limit our potential upside as a result of our risk management policies.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valuation of the securities we hold at any particular time may result in large and occasionally anomalous swings in the value of our positions and in our earnings in any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prices of our long and short positions are reflected on our books at closing prices, which are typically the last trade prices before the official close of the primary exchange on which each such security trades. Given that we manage a globally integrated portfolio, we may have large and substantially offsetting positions in securities that trade on different exchanges that close at different times of the trading day and may be denominated in different currencies. Further, there may be large and occasionally anomalous swings in the value of our positions on any particular day and in our earnings in any period. Such swings may be especially pronounced on the last business day of each calendar quarter, as the discrepancy in official closing prices resulting from the asynchronous closing times may cause us to recognize a gain or loss in one quarter which would be substantially offset by a corresponding loss or gain in the following quarter.</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face substantial competition and other competitive dynamics which could harm our financial performance.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from our market making activities depend on our ability to offer to buy and sell financial instruments at prices that are attractive and represent the best bid and/or offer in a given instrument at a given time. To attract order flow, we compete with other firms not only on our ability to provide liquidity at competitive prices, but also on other factors such as order execution speed and technology. Similarly, revenues from our technology services and agency execution services depend on our ability to offer cutting edge technology and risk management solutions. Across our businesses, our relationships with clients, customers and other counterparties could be adversely impacted by competitive dynamics across the industry, including but not limited to consolidation in the retail brokerage industry or asset management industry.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competitors include other registered market makers, as well as unregulated or lesser</w:t>
        <w:noBreakHyphen/>
        <w:t>regulated trading and technology firms that also compete to provide liquidity and execution services. Our competitors range from sole proprietors with very limited resources to highly sophisticated groups, hedge funds, well</w:t>
        <w:noBreakHyphen/>
        <w:t>capitalized broker</w:t>
        <w:noBreakHyphen/>
        <w:t>dealers and proprietary trading firms or other market makers that have substantially greater financial and other resources than we do. These larger and better capitalized competitors may be better able to respond to changes in the market making industry, to compete for skilled professionals, to finance acquisitions, to fund internal growth, to manage costs and expenses and to compete for market share generally. Trading firms that are not registered as broker</w:t>
        <w:noBreakHyphen/>
        <w:t>dealers or broker</w:t>
        <w:noBreakHyphen/>
        <w:t xml:space="preserve">dealers not registered as market makers may in some instances have certain advantages over more regulated firms, including our subsidiaries that may allow them to bypass regulatory restrictions and trade more cheaply than more regulated participants on some markets or exchanges. In addition, we may in the future face enhanced competition from new market participants that may also have substantially greater financial and other resources than we do, which may result in compressed bid/ask spreads in the marketplace that may negatively impact our financial performance. Moreover, current and potential competitors may establish cooperative relationships among themselves or with third parties or may consolidate to enhance their services and products. The trend toward increased competition in our business is expected to continue, and it is possible that our competitors may acquire increased market share. Increased competition or consolidation in the marketplace could reduce the bid/ask spreads on which our business and profitability depend, and may also reduce commissions paid by institutional clients for execution services, negatively impacting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performance. As a result, there can be no assurance that we will be able to compete effectively with current or future competitors, which could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market making business is concentrated in U.S. equities; accordingly, our operating results may be negatively impacted by changes that affect the U.S. equity markets.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market making revenue for 2023 was derived from our market making in U.S. equities. The level of activity in the U.S. equity markets is directly affected by factors beyond our control, including U.S. economic and political conditions, broad trends in business and finance, legislative and regulatory changes and changes in volume and price levels of U.S. equity transactions. As a result, to the extent these or other factors reduce trading volume or volatility or result in a downturn in the U.S. equity markets, we may experience a material adverse effect on our business, financial condition and operating results.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could lose significant sources of revenues if we lose any of our larger clients or sources of order flow or lose access to an important exchange or other trading venue or if we fail to adapt to proposed new regulations, should they become final rules.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a given period, a limited number of clients may account for a significant portion of our order flow, revenues and profitability, and we expect a large portion of the future demand for, and profitability from, our trade execution services to remain concentrated within a limited number of clients. The loss of one or more larger clients could have an adverse effect on our revenues and profitability in the future. None of these clients is currently contractually obligated to utilize us for trade execution services and, accordingly, these clients may direct their trade execution activities to other execution providers or market centers at any time. Some of these clients have grown organically or acquired market makers and specialist firms to internalize order flow or have entered into strategic relationships with competitors. There can be no assurance that we will be able to retain these significant clients or that such clients will maintain or increase their demand for our trade execution services. Further, the continued integration of legacy systems and the development of new systems could result in disruptions to our ongoing businesses and relationships or cause issues with standards, controls, procedures and policies that adversely affect our ability to maintain relationships with customers, or to solicit new customers. Further, changes in applicable laws, regulations or rules could adversely impact our relationship with any such client or opportunities to interact with order flows from such clients. The loss, or a significant reduction, of demand for our services from any of these clients could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Similarly, changes in applicable laws, regulations or rules promulgated by regulators or exchanges could conceivably prevent us from providing liquidity directly to clients or counterparties or other trading venue where we provide liquidity today. Following recent regulatory attention on U.S. equities market structure, including the practice of wholesale market making and other forms of off exchange trading, the SEC has proposed the adoption of new Rule 615, which would dramatically change U.S. equities market structure, the routing, handling and potentially the amount, character and cost of retail order flow, and therefore may substantially diminish the volume of our transactions with retail client orders. This and other potential legal and regulatory changes are discussed in further detail in “Item 1A. Risk Factors—Legal and Regulatory Risks.” Though our revenues are diversified across exchanges and other trading venues, asset classes and geographies, the loss of access to or reduction in opportunities to transact with one or more significant clients or counterparties, exchanges or other trading venues for any reason could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liquidity risk in our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require liquidity to fund various ongoing obligations, including operating expenses, margin requirements, capital expenditures, debt service and dividend payments. Our main sources of liquidity are cash flow from the operations of our subsidiaries, our broker</w:t>
        <w:noBreakHyphen/>
        <w:t>dealer revolving credit facilities (described under “Item 7. Management’s Discussion and Analysis of Financial Condition and Results of Operations - Liquidity and Capital Resources - Long-Term Borrowings”), margin financing provided by our prime brokers and cash on hand. Our liquidity could be materially impaired by a number of factors, including increased funding requirements for margin or settlement with central clearinghouses, prime brokers or counterparties, reduced business activity due to a market downturn, adverse regulatory action or a downgrade of our credit rating. If our business activities decrease or we are unable to borrow additional funds in the future on terms that are acceptable to us, or at all, we could suffer a material adverse effect on our business, financial condition, results of operations and cash flows.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Self</w:t>
        <w:noBreakHyphen/>
        <w:t>clearing and other elements of our trade processing operations expose us to significant operational, financial and liquidity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self</w:t>
        <w:noBreakHyphen/>
        <w:t>clear a substantial portion of our domestic equity trades and may expand our self</w:t>
        <w:noBreakHyphen/>
        <w:t>clearing operations internationally and across product offerings and asset classes in the future. Self</w:t>
        <w:noBreakHyphen/>
        <w:t>clearing exposes our business to operational risks, including business disruption, operational inefficiencies, liquidity, financing risks, counterparty performance risk and potentially increased expenses and lost revenue opportunities. While our clearing platform, operational processes, risk methodologies, enhanced infrastructure and current and future financing arrangements have been carefully designed, we may nevertheless encounter difficulties that may lead to operating inefficiencies, including delays in implementation, disruption in the infrastructure that supports the business, inadequate liquidity and financial loss. Any such delay, disruption or failure could negatively impact our ability to effect transactions and manage our exposure to risk and could have a material adverse effect on our business, financial condition, results of operations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operation of our client execution services business, we are required to finance certain of our clients’ unsettled positions from time to time and we could be held responsible for the defaults of our clients. Default by our clients may also give rise to our incurring penalties imposed by execution venues, regulatory authorities and clearing and settlement organizations. Although we regularly review our credit exposure, default risk may arise from events or circumstances that may be difficult to detect or foresee. In addition, concerns about, or a default by, one institution could lead to significant liquidity problems, losses or defaults by other institutions that could in turn adversely affect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elevated levels of volume and volatility, which have and may continue to result in material increases in our trading activities both in our market making segment and in our execution services segment, have previously and may in the future result in significantly increased margin requirements with the National Securities Clearing Corporation (“NSCC”), the Options Clearing Corporation (“OCC”), as well as certain prime brokers, clearing brokers, and other counterparties. In order to manage these increased daily funding obligations, we have taken and may continue to have to take measures to increase available short-term liquidity and to reduce our short-term funding requirements, which may require us to depend on additional sources of liquidity and upon the availability of third parties for services such as trade clearing, and have required and may continue to require us to limit certain of our activities in certain asset classes or products. If such sources of short-term liquidity or third-party services are not available, or if we encounter challenges obtaining such short-term liquidity or third-party services on terms favorable to us or at all, then our business, financial condition and results of operations may be adversely impacted.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 substantial amount of indebtedness, which could negatively impact our business and financial condition, and may limit our flexibility in operating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an aggregate of $1,751.8 million outstanding indebtedness under our long-term borrowings. In 2022, we incurred $1.8 billion of term loan under the Credit Agreement (as defined below) in connection with a refinancing transaction entered into on January 13, 2022 which is discussed in further detail in Note 8 “Borrowings” of Part II Item 8 “Financial Statements and Supplementary Data” of this Annual Report on Form 10-K. If we cannot generate sufficient cash flow from operations to service our debt, we may need to refinance our debt, dispose of assets or issue equity to obtain necessary funds. We do not know whether we will be able to take any of such actions on a timely basis, on terms satisfactory to us or at all.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also provides for a revolving credit facility which allows us to borrow on a revolving basis, subject to maximum borrowing limit of $250.0 million, under which we had no borrowing outstanding as of December 31, 2023. Additionally, we are party to an uncommitted facility (the “Uncommitted Facility”), subject to a maximum borrowing limit of $400.0 million, under which we had no borrowings outstanding as of December 31, 2023. We are also a party to a $650.0 million broker-dealer revolving credit facility (the “Committed Facility”) under which we had no borrowings outstanding as of December 31, 2023. Also, certain of our non-guarantor subsidiaries are party to various short-term credit facilities with various prime brokers and other financial institutions in an aggregate amount of $599.2 million under which we had $175.3 million in borrowings outstanding at December 31, 2023.</w:t>
      </w:r>
    </w:p>
    <w:p>
      <w:pPr>
        <w:pStyle w:val="TextBody"/>
        <w:bidi w:val="0"/>
        <w:spacing w:before="0" w:after="0"/>
        <w:ind w:left="0" w:right="0" w:firstLine="720"/>
        <w:jc w:val="left"/>
        <w:rPr/>
      </w:pPr>
      <w:r>
        <w:rPr/>
      </w:r>
    </w:p>
    <w:p>
      <w:pPr>
        <w:pStyle w:val="TextBody"/>
        <w:bidi w:val="0"/>
        <w:spacing w:lineRule="auto" w:line="268" w:before="0" w:after="0"/>
        <w:jc w:val="left"/>
        <w:rPr>
          <w:color w:val="000000"/>
        </w:rPr>
      </w:pPr>
      <w:r>
        <w:rPr>
          <w:color w:val="000000"/>
        </w:rPr>
        <w:t>    </w:t>
      </w:r>
      <w:r>
        <w:rPr>
          <w:rFonts w:ascii="Times New Roman;sans-serif" w:hAnsi="Times New Roman;sans-serif"/>
          <w:b w:val="false"/>
          <w:color w:val="000000"/>
          <w:sz w:val="20"/>
        </w:rPr>
        <w:t>The credit agreement entered into on March 1, 2019 by and among Virtu Financial, VFH Parent LLC, a Delaware limited liability company and a subsidiary of Virtu Financial (“VFH”), Impala Borrower LLC (the “Acquisition Borrower”), a subsidiary of the Company, the lenders party thereto and Jefferies Finance LLC, as administrative agent (as amended on October 9, 2019 and as further amended from time to time, the “Acquisition Credit Agreement”) contained, and the refinancing credit agreement entered into on January 13, 2022 by and among VFH, the lenders party thereto and JPMorgan Chase Bank, N.A., as administrative agent (the “Credit Agreement”), and any other existing or future indebtedness of ours may contain, a number of covenants that impose significant operating and financial restrictions on us, including restrictions on our and our restricted subsidiaries’ ability to, among other things: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incur additional debt, guarantee indebtedness or issue certain preferred equity interests;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pay dividends on or make distributions in respect of, or repurchase or redeem, our equity interests or make other restricted payments;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prepay, redeem or repurchase certain debt;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make loans or certain investments;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sell certain assets;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create liens on our assets;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consolidate, merge or sell or otherwise dispose of all or substantially all of our assets;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enter into certain transactions with our affiliates;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enter into agreements restricting our subsidiaries’ ability to pay dividends;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designate our subsidiaries as unrestricted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covenants, we are limited in the manner in which we conduct our business, and we may be unable to successfully execute our strategy, engage in favorable business activities or finance future operations or capital needs. In addition, the revolving credit facility under the Credit Agreement is subject to a springing financial covenant which, if in effect, may require us to take action to reduce our debt or to act in a manner contrary to our business objectives.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remain in compliance with covenants contained in the Credit Agreement, and our obligation to comply with these covenants may adversely affect our ability to operate our business. A failure to comply with the covenants under the Credit Agreement or any of our other future indebtedness could result in an event of default, which, if not cured or waived, could have a material adverse effect on our business, financial condition, results of operations and cash flows. If any such event of default has occurred and is continuing, the lenders under our Credit Agreement, among other things: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will not be required to lend any additional amounts to us;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could elect to declare all borrowings outstanding, together with accrued and unpaid interest and fees, to be immediately due and payable and terminate all commitments to extend further credit;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of which could result in cross defaults under our other indebtedness. If we default on our indebtedness, our business, financial condition and results of operation could suffer a material adverse effect.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pledge substantially all of our and our guarantor subsidiaries’ assets as collateral under the Credit Agreement. If we were unable to repay such indebtedness, the lenders under the Credit Agreement could proceed to exercise remedies against the collateral granted to them to secure that indebtedness. If any of our outstanding indebtedness under the Credit Agreement or our other indebtedness were to be accelerated, there can be no assurance that our assets would be sufficient to repay such indebtedness in full. We do not have sufficient working capital to satisfy our debt obligations in the event of an acceleration of all or a significant part of our outstanding indebtedness.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Despite our substantial indebtedness, we may still be able to incur significantly more debt, which could intensify the risks associated with our substantial indebtedness.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Agreement, the Uncommitted Facility and the Committed Facility are at variable rates of interest and expose us to interest rate risk. If interest rates increase, our debt service obligations on certain of our variable rate indebtedness will increase even though the amount borrowed remained the same, and our net income and cash flows, including cash available for servicing our indebtedness, will correspondingly decrease. We have entered into, and may enter into additional,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our interest rate risk, may prove disadvantageous or may create additional risks. Rising interest rates could also limit our ability to refinance existing debt when it matures or cause us to pay higher interest rates upon refinancing.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depend on our technology, and our future results may be negatively impacted if we cannot remain technologically competitive.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success in the past has largely been attributable to our technology, which has taken many years to develop. If technology equivalent to ours becomes more widely available for any reason, our operating results may be negatively impacted. Additionally, adoption or development of similar or more advanced technologies by our competitors may require that we devote substantial resources to the development of more advanced technology to remain competitive. Regulators and exchanges may also introduce risk control and other technological requirements on our business that could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increased costs of compliance and divert our technological resources away from their primary strategy development and maintenance duties. The markets in which we compete are characterized by rapidly changing technology, evolving industry standards and changing trading systems, practices and techniques. The widespread adoption of new internet, networking or telecommunications technologies or other technological changes could require us to incur substantial expenditures to modify or adapt our services or infrastructure. We may not be able to anticipate or respond adequately or in a cost</w:t>
        <w:noBreakHyphen/>
        <w:t>efficient and competitive manner to technological advancements (including advancements related to low</w:t>
        <w:noBreakHyphen/>
        <w:t>latency technologies, execution and messaging speeds) or changing industry standards. If any of these risks materialize, it could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reliance on our computer systems and software could expose us to material financial and reputational harm if any of our computer systems or software were subject to any material disruption or corruption.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rely significantly on our computer systems and software to receive and properly process internal and external data and utilize such data to generate orders and other messages. A disruption or corruption of the proper functioning of our computer systems or software could cause us to make erroneous trades or result in other negative circumstances, which could result in material losses or reputational harm. We cannot guarantee that our efforts to maintain competitive computer systems and software will be successful. Our computer systems and software may fail or be subject to bugs or other errors, including human error, resulting in service interruptions or other unintended consequences. If any of these risks materialize, they could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could be the target of a significant cyber-attack, threat or incident that impairs internal systems, results in adverse consequences to information our system process, store or transmit or causes reputation or monetary damages as a consequence.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relies on technology and automation to perform significant functions within our firm. Because of our reliance on technology, we may be susceptible to various forms of cyber-attacks by third parties or insiders. Like other financial services firms, we and our third-party service providers have been the target of cyber-attacks. Though we take steps to mitigate the various cyber threats and devote significant resources to maintain and update our systems and networks, we may be unable to anticipate attacks or to implement adequate preventative measures. We are not aware of any material losses we have incurred relating to cyber-attacks or other information security breaches. Our cybersecurity measures may not detect or prevent all attempts to compromise our systems, including denial</w:t>
        <w:noBreakHyphen/>
        <w:t>of</w:t>
        <w:noBreakHyphen/>
        <w:t>service attacks, viruses, malicious software, ransomware, break</w:t>
        <w:noBreakHyphen/>
        <w:t>ins, phishing attacks, social engineering, security breaches or other attacks and similar disruptions that may jeopardize the security of information stored in and transmitted by our systems or that we otherwise maintain or otherwise result in financial losses or damages to our firm. Furthermore, security measures employed by third-party service providers may ultimately prove to be ineffective at countering threats and therefore could result in adverse impacts to our business, operations, or confidential information, depending upon our relationship with and exposure to a given services provider and the nature of the services provided. Although we maintain insurance coverage that may, subject to policy terms and conditions, cover certain aspects of cyber risks, such insurance coverage may be insufficient to cover all losses or may not cover any losses. Breaches of our cybersecurity measures or those of our third-party service providers could result in any of the following: unauthorized access to our systems; unauthorized access to and misappropriation of information or data, including confidential or proprietary information about ourselves, third parties with whom we do business or our proprietary systems; viruses, worms, spyware, ransomware, or other malware being placed in our systems and intellectual property; deletion or modification of client information; or a denial</w:t>
        <w:noBreakHyphen/>
        <w:t>of</w:t>
        <w:noBreakHyphen/>
        <w:t>service or other interruptions to our business operations. Any actual or perceived breach of our cybersecurity could damage our reputation, expose us to a risk of loss or litigation and possible liability, require us to expend significant capital and other resources to alleviate problems caused by such breaches and otherwise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may be harmed by computer and communication systems malfunctions, human error, failures and delays.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activities are heavily dependent on the integrity and performance of the computer and communications systems supporting them. Our systems and operations are vulnerable to damage or interruption from human error, software bugs and errors, electronic and physical security breaches, natural disasters, economic or political developments, pandemics, weather events, power loss, utility or internet outages, computer viruses, intentional acts of vandalism, terrorism, geopolitical and/or global conflict, war and other similar events. Extraordinary trading volumes or other events could cause our computer systems to operate in ways that we did not intend, at an unacceptably low speed or even fail. While we have invested significant amounts of capital to upgrade the capacity, reliability and scalability of our systems, there can be no assurance that our systems will always operate properly or be sufficient to handle such extraordinary trading volumes. Any disruption for any reason in the proper functioning or any corruption of our software or erroneous or corrupted data may cause us to make erroneous trades or suspend our services and could have a material adverse effect on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systems and infrastructure are generally designed to accommodate additional growth without redesign or replacement, we may need to make significant investments in additional hardware and software to accommodate growth. Failure to make necessary expansions and upgrades to our systems and infrastructure could not only limit our growth and business prospects but could also cause substantial losses and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the timing and impact of disasters and disruptions are unpredictable, we may not be able to respond to actual events as they occur. Business disruptions can vary in their scope and significance and can affect one or more of our facilities. These disruptions may occur as a result of events that affect only our buildings or systems or those of such third parties, or as a result of events with a broader impact globally, regionally or in the cities where those buildings or systems are located, including, but not limited to, natural disasters, economic or political developments, pandemics, weather events, terrorism, geopolitical and/or global conflict, war and other similar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severity of the disruption can also vary from minimal to severe. Although we have employed efforts to develop, implement and maintain reasonable disaster recovery and business continuity plans, we cannot guarantee that our systems will fully recover after a significant business disruption in a timely fashion or at all. Our ability to conduct business may be adversely impacted by a disruption in the infrastructure that supports our businesses and the communities in which we are located. This may include a disruption involving electrical, satellite, undersea cable or other communications, internet, transportation or other services facilities used by us, our employees or third parties with which we conduct business. If we are prevented from using any of our current trading operations, or if our business continuity operations do not work effectively, we may not have complete business continuity, which could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Failure or poor performance of third</w:t>
        <w:noBreakHyphen/>
        <w:t>party software, infrastructure or systems on which we rely could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third parties to provide and maintain certain infrastructure that is critical to our business. For example, we rely on third parties to provide software, data center services and dedicated fiber optic, microwave, wireline and wireless communication infrastructure. This infrastructure may malfunction or fail due to events outside of our control, which could disrupt our operations and have a material adverse effect on our business, financial condition, results of operations and cash flows. Any failure to maintain and renew our relationships with these third parties on commercially favorable terms, or to enter into similar relationships in the future, could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certain third</w:t>
        <w:noBreakHyphen/>
        <w:t>party software, third</w:t>
        <w:noBreakHyphen/>
        <w:t>party computer systems and third</w:t>
        <w:noBreakHyphen/>
        <w:t>party service providers, including clearing systems, exchange systems, alternate trading systems, order routing systems, internet service providers, communications facilities and other facilities. Any interruption in these third</w:t>
        <w:noBreakHyphen/>
        <w:t>party services or software, deterioration in their performance, or other improper operation could interfere with our trading activities, cause losses due to erroneous or delayed responses, or otherwise be disruptive to our business. If our arrangements with any third party are terminated, we may not be able to find an alternative source of software or systems support on a timely basis or on commercially reasonable terms. This could also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use of open source software may expose us to additional risks.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We use software development tools covered by open source licenses and may incorporate such open source software into our proprietary software from time to time. “Open source software” refers to any code, shareware or other software that is made generally available to the public without requiring payment of fees or royalties and/or that may require disclosure or licensing of any software that incorporates such source code, shareware or other software. Given the nature of open source software, third parties might assert contractual or copyright and other intellectual property</w:t>
        <w:noBreakHyphen/>
        <w:t>related claims against us based on our use of such tools and software programs or might seek to compel the disclosure of the source code of our software or other proprietary information. If any such claims materialize, we could be required to (i) seek licenses from third parties in order to continue to use such tools and software or to continue to operate certain elements of our technology, (ii) release certain proprietary software code comprising our modifications to such open source software, (iii) make our software available under the terms of an open source license, (iv) re</w:t>
        <w:noBreakHyphen/>
        <w:t xml:space="preserve">engineer all, or a portion of, that software, any of which could materially and adversely affect our business, financial condition, results of operations and cash flows or (v) be required to pay significant damages as a result of substantiated unauthorized use. While we monitor the use of all open source software in our solutions, processes and technology and try to ensure that no open source software is used (i) in such a way as to require us to disclose the source code to the related solution when we do not wish to do so nor (ii) in connection with critical or fundamental elements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software or technology, such use may have inadvertently occurred in deploying our proprietary solutions. If a third</w:t>
        <w:noBreakHyphen/>
        <w:t>party software provider has incorporated certain types of open source software into software we license from such third party for our products and solutions, we could, under certain circumstances, be required to disclose the source code to our solutions. In addition to risks related to license requirements, usage of open software can lead to greater risks than use of third</w:t>
        <w:noBreakHyphen/>
        <w:t>party commercial software because open source licensors generally do not provide warranties or controls on the origin of the software. Many of the risks associated with usage of open source software cannot be eliminated and could potentially have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or may be prevented from using intellectual property necessary for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federal and state law, trade secrets, trademarks, domain names, copyrights and contract law to protect our intellectual property and proprietary technology. It is possible that third parties may copy or otherwise obtain and use our intellectual property or proprietary technology without authorization or otherwise infringe on our rights. For example, while we have a policy of entering into confidentiality, intellectual property invention assignment and/or non</w:t>
        <w:noBreakHyphen/>
        <w:t>competition and non</w:t>
        <w:noBreakHyphen/>
        <w:t>solicitation agreements or restrictions with our employees, independent contractors and business partners, such agreements may not provide adequate protection or may be breached, or our proprietary technology may otherwise become available to or be independently developed by our competitors. The promulgation of laws or rules which require the maintenance of source code or other intellectual property in a repository subject to certain requirements and/or which enhance or facilitate access to such source code by regulatory authorities could inhibit our ability to protect against unauthorized dissemination or use of our intellectual property. Third parties have alleged and may in the future allege that we are infringing, misappropriating or otherwise violating their intellectual property rights. Third parties may initiate 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 out of court by negotiating a license, but in either case it is possible that such disputes will ultimately result in litigation. Any such claims could interfere with our ability to use technology or intellectual property that is material to the operation of our business. Such claims may be made 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times we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and require us to enter into license agreements that may not be available on favorable terms or at all. Finally, even if we prevail in any litigation, the remedy may not be commercially meaningful or fully compensate us for the harm we suffer or the costs we incur. Any of the foregoing could have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Fluctuations in currency exchange rates could negatively impact our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international business is conducted in currencies other than the U.S. dollar, and therefore changes in foreign exchange rates relative to the U.S. dollar have in the past and can in the future affect the value of our non</w:t>
        <w:noBreakHyphen/>
        <w:t>U.S. dollar net assets, revenues and expenses. Although we closely monitor potential exposures as a result of these fluctuations in currencies, and where cost</w:t>
        <w:noBreakHyphen/>
        <w:t>justified we adopt strategies that are designed to reduce the impact of these fluctuations on our financial performance, including the financing of non</w:t>
        <w:noBreakHyphen/>
        <w:t>U.S. dollar assets with borrowings in the same currency and the use of various hedging transactions related to net assets, revenues, expenses or cash flows, there can be no assurance that we will be successful in managing our foreign exchange risk. Our exposure to currency exchange rate fluctuations will grow if the relative contribution of our operations outside the U.S. increases. Any material fluctuations in currencies could have a material effect on our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incur material losses on foreign exchange transactions entered into on behalf of clients and be exposed to material liquidity risk due to counterparty defaults or errors.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enable clients to settle cross</w:t>
        <w:noBreakHyphen/>
        <w:t xml:space="preserve">border equity transactions in their local currency through the use of foreign exchange contracts. These arrangements typically involve the delivery of securities or cash to a counterparty that is not processed through a central clearing facility in exchange for a simultaneous receipt of cash or securities. We may operate as either a principal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agent in these transactions. As a result, a default by one of our counterparties prior to the settlement of their obligation could materially impact our liquidity and have a material adverse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exposed to operational risk. Employee and technological errors in executing, recording or reporting foreign exchange transactions may result in material losses due to the large size of such transactions and the underlying market risk in correcting such errors.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experience risks associated with future growth or expansion of our operations or acquisitions, strategic investments or dispositions of businesses, and we may never realize the anticipated benefits of such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part of our business strategy, we may make acquisitions or significant investments in and/or disposals of businesses. Any such future acquisitions, investments and/or dispositions would be accompanied by risks such as assessment of values for acquired businesses, intangible assets and technologies, difficulties in assimilating the operations and personnel of acquired companies or businesses, diversion of our management’s attention from ongoing business concerns, our potential inability to maximize our financial and strategic position through the successful incorporation or disposition of operations, maintenance of uniform standards, controls, procedures and policies and the impairment of existing relationships with employees, contractors, suppliers and customers as a result of the integration of new management personnel and cost</w:t>
        <w:noBreakHyphen/>
        <w:t>saving initiatives. We cannot guarantee that we will be able to successfully integrate any company or business that we might acquire in the future, and our failure to do so could harm our current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not realize the anticipated benefits of any such transactions, and there may be other unanticipated or unidentified effects. While we would seek protection, for example, through warranties and indemnities in the case of acquisitions, significant liabilities may not be identified in due diligence or come to light after the expiration of warranty or indemnity periods. Additionally, while we would seek to limit our ongoing exposure, for example, through liability caps and period limits on warranties and indemnities in the case of disposals, some warranties and indemnities may give rise to unexpected and significant liabilities. If we fail to realize any such anticipated benefits, or if we experience any such unanticipated or unidentified effects in connection with any future acquisitions, investments or dispositions, we could suffer a material adverse effect on our business, financial condition, results of operations and cash flows. Finally, strategic investments may involve additional risks associated with holding a minority or noncontrolling position in an illiquid business or asset, including losses on investment along with failures to realize anticipated strategic benefits associated with an investment.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efforts to sell shares of our common stock or raise additional capital may be inhibited by regulations.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certain of our subsidiaries are members of FINRA and other SROs, we are subject to certain regulations regarding changes in ownership or control and material changes in operations. For example, FINRA Rule 1017 generally provides that FINRA approval must be obtained in connection with certain change of ownership or control transactions, such as a transaction that results in a single entity or person owning 25% or more our equity. Similarly, VFIL, VETL and VIUK, our regulated subsidiaries in Ireland and the U.K., are subject to change in control regulations promulgated by the CBI and/or the FCA, and other registered or regulated foreign subsidiaries may be subject to similar regulations in applicable jurisdictions. As a result of these regulations, our future efforts to sell shares of our common stock or raise additional capital may be delayed or prohibited. We may be subject to similar restrictions in other jurisdictions in which we operate.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dependent on the continued service of certain key executives, the loss or diminished performance of whom could have a material adverse effect on our business, and our success depends in part on our ability to identify, recruit and retain skilled management and technical personnel.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performance is substantially dependent on the performance of our senior management, including Douglas Cifu, our Chief Executive Officer, Joseph Molluso, our Co-President and Co-Chief Operating Officer, Brett Fairclough, our Co-President and Co-Chief Operating Officer, Sean Galvin, our Chief Financial Officer and Stephen Cavoli, our Executive Vice President, Global Head of Execution Services. In connection with and subsequent to the IPO, we have entered into employment and other related agreements with certain members of our senior management team that restrict their ability to compete with us should they decide to leave our Company. Even though we have entered into these agreements, we cannot be sure that any member of our senior management will remain with us or that they will not compete with us in the future. The loss of any member of our senior management team could impair our ability to execute our business plan and growth strategy and have a negative impact on our revenues, in addition to potentially causing employee morale problems and/or the loss of key employees. In particular, Mr. Cifu invests in other businesses and spends time on such matters, which could divert his attention from us. Our employment agreement with Mr. Cifu specifically permits his participation in and attention to certain other business activities, including but not necessarily limited to his role as the Vice Chairman and Alternate Governor of the Florida Panthers, a National Hockey League franchise. We cannot guarantee that these or other permitted outside activities will not impact his performance as Chief Executive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in part, upon our continued ability to identify, attract, hire and retain highly qualified personnel, including skilled technical, management, product and technology, trading, sales and marketing personnel, all of whom are in high demand and are often subject to competing offers. Competition for qualified personnel in the financial services industry is intense and we cannot assure you that we will be able to hire or retain a sufficient number of qualified personnel to meet our requirements, or that we will be able to do so at salary, benefit and other compensation costs that are acceptable to us or that would allow us to achieve operating results consistent with our historical results. A loss of qualified employees, or an inability to attract, retain and motivate additional highly skilled employees in the future, could have a material adverse effect on our business.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increased risks or business disruption, incur losses or suffer reputational harm in relation to or as a result of climate 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Climate change could manifest as a financial risk to us either through changes in the physical climate or from the process of transitioning to a low-carbon economy, including changes in climate policy or in the regulation of financial institutions with respect to risks posed by climate change. Potential events or disruptions of this nature include significant rainfall, flooding, increased frequency or intensity of wildfires, prolonged drought, rising sea levels and rising heat index. Additionally, our reputation and client relationships may be damaged as a result of our involvement, or our clients’ involvement, in certain industries or projects associated with causing or exacerbating climate change, as well as any decisions we make to continue to conduct or change our activities in response to considerations relating to climate change. New regulations or guidance relating to climate change, as well as the perspectives of shareholders, employees and other stakeholders regarding climate change, may affect whether and on what terms and conditions we engage in certain activities or offer certain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Cryptocurrency and other digital assets are an emerging asset class that carries unique risk, including the risk of financial loss.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value of cryptocurrencies and other digital assets, whether traded in spot, ETP/ETF, or other form, is based in part on market adoption and future expectations, which may or may not be realized. As a result, the prices of cryptocurrencies and other digital assets are highly speculative. Due to this highly volatile nature, prices of cryptocurrencies and other digital assets have been subject to dramatic fluctuations which may impact our balance sheet. For example, if the price of the cryptocurrencies we hold in inventory drops below the price we paid to acquire this inventory, we could incur a loss. Moreover, if our systems fail at managing our inventory or customer orders, we could be left with excess inventory that increases our exposure to the volatility of the price of cryptocurrencies.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because cryptocurrency, along with other digital assets, is a new and emerging asset class with unique electronic exposure, there is a high degree of fraud, theft, cyberattacks and other forms of risk in the cryptocurrency space, and legal, regulatory and market standards around market conduct, transparency, custody, segregation of client assets, clearing and settlement for these assets, including when traded in spot, ETP/ETF, or other form, are all evolving or unsettled, which can increase risks for us and other market participants. While the Company employs a variety of controls to mitigate risk of loss and theft in the cryptocurrency positions we maintain, it is possible, for example, for electronic wallet keys to become lost or stolen, for blockchains to experience detrimental changes, such as forks, or for our cryptocurrency exchange and custodian partners to experience cybersecurity incidents. In the event of such events, we could experience financial loss, we could lose customers and clients as a result of reputational damage, and we may face regulatory or legal consequences. Although we maintain insurance, there can be no assurance that liabilities or losses we may incur will be covered under such policies or that the amount of insurance will be adequate.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Legal and Regulatory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Regulatory and legal uncertainties could harm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and derivatives businesses are heavily regulated. Firms in the financial services industry have been subject to an increasingly regulated environment over recent years, and penalties and fines sought by regulatory authorities have increased considerably. In addition, following recent congressional, regulatory and news media attention to U.S. equities market structure, the regulatory and enforcement environment has created uncertainty with respect to various types of transactions that historically had been entered into by financial services firms and that were generally believed to be permissible and appropriate. The retail trading environment in the U.S., relationships between broker-dealers and market making firms, short selling and “high frequency” and other forms of low latency or electronic trading strategies continue to be the focus of extensive regulatory scrutiny by federal, state and foreign regulators and SROs, and such scrutiny is likely to continue. Our market making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trading activities are characterized by substantial volumes, an emphasis on technology and certain other characteristics that are also commonly associated with high frequency trading and we engage in direct-to-client market making services across multiple asset classes primarily to sell-side clients including global, national and regional broker-dealers and banks and in the context of our market making and trading activities, we are party to various remuneration and rebate arrangements, including payment for order flow, profit-sharing relationships, and exchange fee and rebate structures.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regulatory and legal status and classification of various cryptocurrencies and other digital assets is subject to substantial uncertainty. For example, a given digital asset could be considered a security, a commodity or currency, or some combination thereof, and therefore may be subject to rules and regulations promulgated by federal regulators, including but not limited to the SEC, the CFTC, the Department of Treasury, in addition to state regulators. While our participation in this asset class has been limited thus far, changes in this regulatory environment, including changing interpretations and the implementation of new or varying regulatory requirements by the government, may significantly affect or change the manner in which we currently conduct some aspects of our business or may significantly impact or limit our ability to increase our participation or could otherwise expose us to potential liability or losses.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In addition, the financial services industry is heavily regulated in many foreign countries. The varying compliance requirements of these different regulatory jurisdictions and other factors may limit our ability to conduct business or expand internationally. For example, MiFID, which was implemented in November 2007, has been replaced by MiFID II/Markets in Financial Investments Regulation (“MiFIR”), which was adopted by the European Parliament on April 15, 2014 and by the Council on May 13, 2014, entered into force on July 2, 2014, and became effective on January 3, 2018. MiFID II requires certain types of firms, including VFIL, to post firm quotes at competitive prices and supplements previous requirements with regard to investment firms’ risk controls related to the safe operation of electronic systems. MiFID II also imposed additional requirements on market structure, such as the introduction of a harmonized tick size regime, the introduction of trading venues known as Organized Trading Facilities, and the promulgation of a bilateral trading arrangement called the Systematic Internaliser regime, new open access provisions, market making requirements and various other pre</w:t>
        <w:noBreakHyphen/>
        <w:t xml:space="preserve"> and post</w:t>
        <w:noBreakHyphen/>
        <w:t>trade risk management requirements. The MiFID II regime is currently under review, with European Union authorities proposing to make further changes to the regime. In its communication on “The European economic and financial system: fostering openness, strength and resilience” of January 19, 2021, the European Commission confirmed its intention to propose to make changes with a view to improving simplifying and further harmonizing capital markets’ transparency as part of the review of the MiFID II and MiFIR framework.</w:t>
      </w:r>
      <w:r>
        <w:rPr>
          <w:color w:val="000000"/>
        </w:rPr>
        <w:t xml:space="preserve"> </w:t>
      </w:r>
      <w:r>
        <w:rPr>
          <w:rFonts w:ascii="Times New Roman;sans-serif" w:hAnsi="Times New Roman;sans-serif"/>
          <w:b w:val="false"/>
          <w:color w:val="000000"/>
          <w:sz w:val="20"/>
        </w:rPr>
        <w:t>On December 21, 2022, the Council of the European Union published the texts of its general approach on the proposed regulation to amend MiFIR “as regards enhancing market data transparency, removing obstacles to the emergence of a consolidated tape, optimizing the trading obligations and amending Regulation (EU) No 575/2013 on prudential requirements for credit institutions and amending Regulation (EU) No 648/2012” and on the proposed directive “amending Directive 2014/65/EU on markets in financial instruments and amending Directive 2013/36/EU on access of the activity of credit institutions and the prudential supervision of credit institutions and investment firms, amending Directive 2002/87/EC and repealing Directives 2006/48/EC and 2006/49/EC”, each dated December 16, 2022; as well as publishing an “I” item note, also dated December 16, 2022, inviting the Council’s Permanent Representatives Committee to agree the text of the mandate for negotiations with European Parliament on the basis of the published general approaches, with a view to reaching agreement at first reading. The Council of the European Union further published an Information Note with respect to the “Proposal for a Regulation (EU) of the European Parliament and of the Council of amending Regulation (EU) No 600/2014 as regards enhancing data transparency, removing obstacles to the emergence of consolidated tapes, optimizing the trading obligations and prohibiting receiving payments for forwarding client orders” and the “Proposal for the Directive (EU) 2023/ of the European Parliament and of the Council of amending Directive 2014/65/EU on markets in financial instruments”, dated October 18, 2023, which includes the final compromise texts for each proposed regulation. The Information Note details the draft overall compromise package as agreed by the Permanent Representatives’ Committee, with the Council of the European Union inviting the European Parliament to adopt its position at first reading in accordance with the compromise package, with a view to reaching an agreement and adopting the act at first reading. Each of these and other proposals may impose technological and compliance costs on us. Any of these laws, rules or regulations, as well as changes in legislation or regulation and changes in market customs and practices could have a material adverse effect on our business, financial condition, results of operations and cash flows. These risks may be enhanced by recent scrutiny of electronic trading and market structure from regulators, lawmakers and the financial news media.</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maintain borrowing facilities with banks, prime brokers and Futures Commission Merchants (“FCMs”), and we obtain uncommitted margin financing from our prime brokers and FCMs, which are in many cases affiliated with banks. In response to the 2008 financial crisis, the Basel Committee on Banking Supervision issued a new, more stringent capital and liquidity framework known as Basel III, which national banking regulators have been implementing in the various jurisdictions in which our lenders may be incorporated. In the E.U., on December 24, 2019, a Regulation on the prudential requirements for Investment Firms (“IFR”) and a Directive on the prudential supervision of Investments Firms (“IFD”) entered into force. The IFR and IFD introduced new prudential requirements for investment firms, classifying them into different categories depending on the Company’s balance-sheet size and types of activity. The main provisions of the IFR and IFD were applicable from the end of June 2021. Certain Level 2 texts are still outstanding which are required to provide clarity on certain provisions in the IFR/IFD. As these rules are implemented and in certain cases impose more stringent capital and liquidity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requirements, certain of our lenders may revise the terms of our borrowing facilities or margin financing arrangements, reduce the amount of financing they provide, or cease providing us financing, each of which could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Pending, proposed and other potential changes in laws and rules may adversely impact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market participants, SROs, government officials and regulators have requested that the U.S. Congress, the SEC, and the CFTC propose and adopt additional laws and rules, including rules relating to payment for order flow, off-exchange trading, additional registration requirements, restrictions on co</w:t>
        <w:noBreakHyphen/>
        <w:t>location, order</w:t>
        <w:noBreakHyphen/>
        <w:t>to</w:t>
        <w:noBreakHyphen/>
        <w:t>execution ratios, minimum quote life for orders, incremental messaging fees to be imposed by exchanges for “excessive” order placements and/or cancellations, further transaction taxes, tick sizes, changes to maker/taker rebates programs, and other market structure proposals. For example, the Committee on Financial Services of the U.S. House of Representatives held hearings on the events surrounding the January 2021 market volatility and disruptions surrounding Gamestop and other “meme” stocks at which various members of Congress expressed their concerns about various market practices, including payment for order flow and short-selling. The SEC has recently proposed several rule changes focused on equity market structure reform. These proposals include, but are not limited to, (i) Proposed Rule 615 of Regulation NMS, which proposes to dramatically change U.S. equities market structure, the routing, handling and potentially the amount, character and cost of retail order flow, (ii) Regulation Best Execution, which would impose best execution requirements on broker-dealers which would be distinct from, but overlapping with, FINRA’s existing best execution rule (Rule 5310), (iii) proposed rule amendments to minimum pricing increments under Rule 612 or Regulation NMS, access fee caps under Rule 610 of Regulation NMS, acceleration of implementation of certain Market Data Infrastructure Rules, and amendment to the odd-lot information definition adopted under the MDI rules (collectively referred to as the “tick size, access fees and infostructure rule proposals”), (iv) amendments to Rule 605 of Regulation NMS, (v) a series of amendments to the definition of Exchange and Alternative Trading Systems (ATS), which would expand the scope of exchange and ATS registration and compliance requirements, and (vi) amendments to Regulation SCI which would broaden the scope of covered technology platforms business models. Additionally, rules to amend the definitions of “dealer” and “government securities dealer” within the Exchange Act were recently adopted and are expected to broaden the scope of these registrant categories. Regulators may propose other market structure changes, particularly considering the continued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ATSs and off-exchange trading more generally, high frequency trading, short selling, market fragmentation, colocation, and access to market data feeds.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or all of these proposals or additional proposals may be adopted by the SEC, CFTC or other U.S. or foreign legislative or regulatory bodies, and news media attention to electronic trading and market structure could increase the likelihood of adoption. These potential market structure and regulatory changes could cause a change in the manner in which we make markets, limit, restrict or otherwise adversely affect our ability to interact with certain order flow, impose additional costs and expenses on our business or otherwise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w:t>
        <w:noBreakHyphen/>
        <w:t>compliance with applicable laws or regulatory requirements could subject us to sanctions and could negatively impact our reputation, prospects, revenues and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subsidiaries are subject to regulations in the U.S., and our foreign subsidiaries are subject to regulations abroad, in each case covering all aspects of their business. Regulatory bodies that exercise or may exercise authority over us include, without limitation, in the U.S., the SEC, FINRA, the Chicago Mercantile Exchange, the Intercontinental Exchange, the CFTC, the NFA Exchanges and the various state securities regulators; in the European Union, ESMA; in Ireland, the CBI; in Switzerland, the Swiss Financial Market Supervisory Authority; in France, the Autorité des Marchés Financiers (“AMF”); in the United Kingdom, the FCA; in Hong Kong, the SFC; in Australia, the ASIC; in Canada, the CIRO and various Canadian provincial securities commissions; in Singapore, the MAS; in India, the Securities and Exchange Board of India; and in Japan, the Financial Services Agency and the Japan Securities Dealers Association. Our mode of operation and profitability may be directly affected by additional legislation and changes in rules promulgated by various domestic and foreign government agencies and SROs that oversee our businesses, as well as by changes in the interpretation or enforcement of existing laws and rules, including the potential imposition of additional capital and margin requirements and/or transaction taxes. While we endeavor to deliver required annual filings in all jurisdictions in a timely manner, we cannot guarantee that we will meet every applicable filing deadline globally. Noncompliance with applicable laws or regulations could result in sanctions being levied against us, including fines, penalties, judgments, disgorgement, restitution and censures, suspension or expulsion from a certain jurisdiction, SRO or market or the revocation or limitation of licenses. Noncompliance with applicable laws or regulations could also negatively impact our reputation, prospects, revenues and earnings. In addition, changes in current laws or regulations or in governmental policies could negatively impact our operations, revenues and earnings.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Domestic and foreign stock exchanges, other SROs and state and foreign securities commissions can censure, fine, impose undertakings, issue cease</w:t>
        <w:noBreakHyphen/>
        <w:t>and</w:t>
        <w:noBreakHyphen/>
        <w:t>desist orders and suspend or expel a broker</w:t>
        <w:noBreakHyphen/>
        <w:t>dealer or other market participant or any of its officers or employees. Our ability to comply with all applicable laws and rules is largely dependent on our internal systems to ensure compliance, as well as our ability to attract and retain qualified compliance personnel. We could be subject to disciplinary or other actions in the future due to claimed noncompliance, which could have a material adverse effect on our business, financial condition, results of operations and cash flows. We have been, are currently, and may in the future be, the subject of one or more regulatory or SRO enforcement actions, including but not limited to targeted and routine regulatory inquiries and investigations involving Best Execution, Regulation NMS, Regulation SHO, Regulation SCI, market access rules, capital requirements and other domestic and foreign securities rules and regulations. We and other broker-dealers and trading firms have also been the subject of requests for information and documents from the SEC and other regulators. We have cooperated and complied with these requests for information and documents. Our business or reputation could be negatively impacted if it were determined that disciplinary or other enforcement actions were required. To continue to operate and to expand our services internationally, we will have to comply with the regulatory controls of each country in which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internationally.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noBreakHyphen/>
        <w:t>dealer and require that at least a minimum part of its assets be kept in relatively liquid form. In general, net capital is defined as net worth (assets minus liabilities), plus qualifying subordinated borrowings, less certain mandatory deductions that result from, among other things, excluding assets that are not readily convertible into cash and from valuing conservatively certain other assets. Among these deductions are adjustments, commonly called haircuts, which reflect the possibility of a decline in the market value of an asset before disposition, and non</w:t>
        <w:noBreakHyphen/>
        <w:t>allowable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Failure to maintain the required minimum capital may subject our regulated subsidiaries to a fine, requirement to cease conducting business, suspension, revocation of registration or expulsion by the applicable regulatory authorities, reputational harm and ultimately could require the relevant entity’s liquidation. Events relating to capital adequacy could give rise to regulatory actions that could limit business expansion or require business reduction. SEC and SRO net capital rules prohibit payments of dividends, redemptions of stock, prepayments of subordinated indebtedness and the making of any unsecured advances or loans to a stockholder, employee or affiliate, in certain circumstances, including if such payment would reduce the Company’s net capital below required levels. Similar issues and risks arise in connection with the capital adequacy requirements of foreign regulators.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the net capital rules, the imposition of new rules or any unusually large charges against net capital could limit our operations that require the intensive use of capital and also could restrict our ability to withdraw capital from our broker</w:t>
        <w:noBreakHyphen/>
        <w:t>dealer subsidiaries. A significant operating loss or any unusually large charge against net capital could negatively impact our ability to expand or even maintain our present levels of business. Similar issues and risks arise in connection with the capital adequacy requirements of foreign regulators. Any of these results could have a material adverse effect on our business,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risks relating to litigation and potential securities law liability.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substantial risks of liability under federal and state securities laws and other federal and state laws and court decisions, as well as rules and regulations promulgated by the SEC, the CFTC, state securities regulators, SROs and foreign regulatory agencies. These risks may be enhanced by recent scrutiny of electronic trading and market structure from regulators, lawmakers and the financial news media. We are also subject to the risk of litigation and claims that may be without merit. At present and from time to time, we, our past and present officers, directors and employees are and may be named in legal actions, regulatory investigations and proceedings, arbitrations and administrative claims and may be subject to claims alleging the violations of laws, rules and regulations, some of which may ultimately result in the payment of fines, awards, judgments and settlements. We could incur significant legal expenses in defending ourselves against and resolving lawsuits or claims even if we believe them to be meritless. An adverse resolution of any current or future lawsuits or claims against us could result in a negative perception of our Company and cause the market price of our common stock to decline or otherwise have a material adverse effect on our business, financial condition, results of operations and cash flows.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Proposed legislation in the European Union, the U.S. and other jurisdictions that would impose taxes on certain financial transactions could have a material adverse effect on our business and financial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28, 2011, the former president of the European Commission officially presented a plan to create a new financial transactions tax which in February 2013 was formally presented for consideration by the European Commission under an enhanced cooperation procedure among 11 European Union Member States (Belgium, Germany, Estonia, Greece, Spain, France, Italy, Austria, Portugal, Slovenia and Slovakia) for the purposes of a financial transaction tax among those Member States (the “EU Financial Transaction Tax”). The EU Financial Transaction Tax was initially intended to be implemented within those 11 European Union Member States in January 2014. In 2016, Estonia, one of the original members, withdrew its support for the proposal. As of December 31, 2023 such tax has not yet been implemented. On October 15, 2020, the Spanish Government published Law 5/2020 on the Spanish Financial Transaction Tax (“Spanish FTT”). The Spanish FTT constitutes a tax to be applied to acquisitions of equity shares in Spanish companies having a market capitalization greater than EUR1bn (as of 1st December the previous year), that are admitted to trading on a Spanish market or a market based in another E.U. member state. The Spanish FTT was applied to transactions from trade date of January 14, 2020, although it does contain certain exemptions, including in relation to market making activity.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2013, U.S. Representative Peter DeFazio and former Senator Thomas Harkin introduced proposed legislation, a bill entitled the “Wall Street Trading and Speculators Tax Act,” which would have, subject to certain exceptions, imposed an excise tax on the purchase of a security, including equities, bonds, debentures, other debt and interests in derivative financial instruments, if the purchase occurred or was cleared on a trading facility in the U.S. and the purchaser or seller is a U.S. person. More recently, in late 2018 and 2019 U.S. legislators, including U.S. Senators Kirsten Gillibrand and Brian Schatz, have announced proposals or plans that include a financial transaction fee. At the state level recently, the state of New Jersey has considered a bill in the state legislature providing for a financial transaction tax on trades processed on any server located in New Jersey, with other states, including New York, discussing similar measures. Discussions in New York have included a proposed bill which would reestablish a stock transfer tax by repealing a rebate previously implemented and applied to such tax since 1981. Additional legislation may be proposed at the federal and state levels from time to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proposed transaction taxes would apply to certain aspects of our business and transactions in which we are involved. Any such tax would increase our cost of doing business to the extent that (i) the tax is regularly applicable to transactions in the markets in which we operate, (ii) the tax does not include exceptions for market makers or market making activities that is broad enough to cover our activities or (iii) we are unable to widen our bid/ask spreads in the markets in which such a tax would be applicable to compensate for its imposition. Furthermore, the proposed taxes may reduce or negatively impact trading volume and transactions on which we are dependent for revenues. While it is difficult to assess the impact the proposed taxes could have on us, if either transaction tax is implemented or any similar tax is implemented in any other jurisdiction in which we operate, our business, financial condition, results of operations and cash flows could suffer a material adverse effect, and could be impacted to a greater degree than other market participants.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exposed to risks associated with our international operations and expansion and failure to comply with laws and regulations applicable to our international operations may increase costs, reduce profits, limit growth or subject us to liability.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risks and uncertainties inherent in doing business in international markets, particularly in the heavily regulated broker</w:t>
        <w:noBreakHyphen/>
        <w:t>dealer industry. Such risks and uncertainties include political, economic and financial instability, unexpected changes in regulatory requirements, tariffs and other trade barriers, exchange rate fluctuations, applicable currency controls, the imposition of restrictions on currency conversion or the transfer of funds, limitations on our ability to repatriate non</w:t>
        <w:noBreakHyphen/>
        <w:t>U.S. earnings in a tax efficient manner and difficulties in staffing and managing foreign operations, including reliance on local experts. Such restrictions generally include those by imposed by the Foreign Corrupt Practices Act (the “FCPA”) and trade sanctions administered by the Office of Foreign Assets Control (“OFAC”). The FCPA is intended to prohibit bribery of foreign officials and requires companies whose securities are listed in the U.S. to keep books and records that accurately and fairly reflect those companies’ transactions and to devise and maintain an adequate system of internal accounting controls. OFAC administers and enforces economic and trade sanctions based on U.S. foreign policy and national security goals against designated foreign states, organizations and individuals. Though we have policies in place designed to comply with applicable OFAC sanctions, rules and regulations as well as the FCPA and equivalent laws and rules of other jurisdictions, if we fail to comply with these laws and regulations, we could be exposed to claims for damages, financial penalties, reputational harm, incarceration of employees and restrictions on our operations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varying compliance requirements of these different regulatory jurisdictions and other factors may limit our ability to successfully conduct or expand our business internationally and may increase our costs of investment. Expansion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into international locations involves substantial operational and execution risk. We may not be able to manage these costs or risks effectively.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Brexit continues to pose a risk of negatively impacting the global economy, financial markets and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UK's withdrawal of its membership from the EU in 2020, an event commonly referred to as “Brexit” and the conclusion of a subsequent transition period in 2021, U.K. investment firms which had previously used passporting permissions under MiFID II to provide services to clients in the E.U., ceased to subject to the E.U.'s MiFID II regime, and E.U. investment firms could no longer automatically access U.K. markets on the basis of MiFID passporting rights. Following Brexit, Virtu services its UK client-base via various means, including a UK authorized third-country branch of VETL, and by its UK investment firm, VIUK, which is authorized and regulated by the FCA with permission to operate an MTF.</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Poor future relations between the U.K. and E.U., however, could adversely affect European or worldwide political, fiscal, regulatory, economic or market conditions and could contribute to instability in global political institutions, regulatory agencies and financial markets. Disruptions and uncertainty caused by these events may also cause our clients to closely monitor their costs and reduce their spending budget on our services. Potential regulatory divergence between the U.K. and E.U. could cause disruption to our business in EMEA, through incurring implementation costs and/or other operational uplift required to comply with the distinct legal regimes. Any of these effects of the U.K.’s departure from the E.U., and others we cannot anticipate or that may evolve over time, could adversely affect our business,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 connection with our historical acquisitions, the Company is subject to potential liabilities that could materially and adversely affect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KCG and the ITG Acquisition, we assumed potential liabilities, indemnification obligations, and other risks relating to KCG's and ITG’s business, including but not limited to those liabilities and risks arising from or related to pending, threatened or potential litigation or regulatory matters. In some instances, these matters may ultimately result in a disciplinary action and/or a civil or administrative action, penalties, fines, judgments, censures and settlements. To the extent we have not identified such liabilities or miscalculated their potential financial impact, these liabilities could have a material adverse effect on our business, prospects, results of operations, financial condition and/or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Organization and Structure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a holding company and our principal asset is our 57.8% of equity interest in Virtu Financial, and we are accordingly dependent upon distributions from Virtu Financial to pay dividends, if any, taxes and other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our principal asset is our direct and indirect ownership of 57.8% of the Virtu Financial Units as of December 31, 2023. We have no independent means of generating revenue. As the sole managing member of Virtu Financial, we cause Virtu Financial to make distributions to its equity holders, including the Founder Post-IPO Member, Virtu Employee Holdco, certain current and former members of management of the Company and their affiliates (the “Management Members”) and us, in amounts sufficient to fund dividends to our stockholders in accordance with our dividend policy and, as further described below, to cover all applicable taxes payable by us and any payments we are obligated to make under the tax receivable agreements we entered into as part of the Reorganization Transactions, but we are limited in our ability to cause Virtu Financial to make these and other distributions to us (including for purposes of paying corporate and other overhead expenses and dividends) under our Credit Agreement governing our First Lien Term Loan Facility (as defined below). In addition, certain laws and regulations may result in restrictions on Virtu Financial’s ability to make distributions to its equity holders (including us), or the ability of its subsidiaries to make distributions to it. These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SEC Uniform Net Capital Rule (Rule 15c3</w:t>
        <w:noBreakHyphen/>
        <w:t>1), which requires Virtu Financial’s registered broker</w:t>
        <w:noBreakHyphen/>
        <w:t>dealer subsidiary to maintain specified levels of net capital;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FINRA Rule 4110, which imposes a requirement of prior FINRA approval for any distribution by Virtu Financial’s FINRA member registered broker</w:t>
        <w:noBreakHyphen/>
        <w:t>dealer subsidiary in excess of 10% of its excess net capital;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requirement for prior approval from the CBI before Virtu Financial’s regulated Irish subsidiary completes any distribution or dividend.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we need funds and Virtu Financial is restricted from making such distributions to us, under applicable law or regulation, as a result of covenants in our Credit Agreement, we may not be able to obtain such funds on terms acceptable to us or at all and as a result could suffer a material adverse effect on our liquidity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Third Amended and Restated Limited Liability Company Agreement of Virtu Financial (as amended, the “Amended and Restated Virtu Financial LLC Agreement”), Virtu Financial from time to time makes distributions in cash to its equity holders, including the Founder Post</w:t>
        <w:noBreakHyphen/>
        <w:t>IPO Member, the trust that holds equity interests in Virtu Financial on behalf of certain employees of ours based outside the United States, which we refer to as the “Employee Trust”, Virtu Employee Holdco and us, in amounts sufficient to cover the taxes on their allocable share of the taxable income of Virtu Financial. These distributions are treated as advances and may be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or another rate as determined by the Company in its discretion for one or more holders. As a result of (i) potential differences in the amount of net taxable income allocable to us and to Virtu Financial’s other equity holders, (ii) the lower tax rate applicable to corporations than individuals, (iii) the favorable tax benefits that we anticipate from (a) the exchange of Virtu Financial Units and corresponding shares of Class C Common Stock or Class D Common Stock, (b) payments under the tax receivable agreements and (c) future deductions attributable to the prior acquisition of interests in Virtu Financial by certain affiliates of Silver Lake Partners and Temasek, and (vi) additional distributions of profits which may be generated by Virtu Financial and its subsidiaries to equity holders, we expect that the distributions we receive may exceed our tax liabilities, regular dividend and other obligations. Our Board of Directors will determine the appropriate uses for any excess cash so accumulated, which may include, among other uses, the payment of obligations under the tax receivable agreements, the payment of other expenses or the repurchase of shares of common stock or Virtu Financial Units. We will have no obligation to distribute such cash (or other available cash) to our shareholders. No adjustments to the exchange ratio for Virtu Financial Units and corresponding shares of common stock will be made as a result of any cash distribution by us or any retention of cash by us, and in any event the ratio will remain one</w:t>
        <w:noBreakHyphen/>
        <w:t>to</w:t>
        <w:noBreakHyphen/>
        <w:t>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controlled by the Founder Post</w:t>
        <w:noBreakHyphen/>
        <w:t>IPO Member, whose interests in our business may be different than yours, and certain statutory provisions afforded to stockholders are not applicable to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Founder Post</w:t>
        <w:noBreakHyphen/>
        <w:t>IPO Member controls approximately 86.5% of the combined voting power of our common stock as a result of its ownership of our Class C and Class D Common Stock, each share of which is entitled to 1 vote and 10 votes, respectively, on all matters submitted to a vote of our stockholders.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Founder Post</w:t>
        <w:noBreakHyphen/>
        <w:t>IPO Member has the ability to substantially control our Company, including the ability to control any action requiring the general approval of our stockholders, including the election of our Board of Directors, the adoption of amendments to our certificate of incorporation and by</w:t>
        <w:noBreakHyphen/>
        <w:t>laws and the approval of any merger or sale of substantially all of our assets. This concentration of ownership and voting power may also delay, defer or even prevent an acquisition by a third party or other change of control of our Company and may make some transactions more difficult or impossible without the support of the Founder Post</w:t>
        <w:noBreakHyphen/>
        <w:t>IPO Member, even if such events are in the best interests of minority stockholders. This concentration of voting power with the Founder Post</w:t>
        <w:noBreakHyphen/>
        <w:t>IPO Member may have a negative impact on the price of our Class A Common Stock. In addition, because shares of our Class B Common Stock and Class D Common Stock each have 10 votes per share on matters submitted to a vote of our stockholders, the Founder Post</w:t>
        <w:noBreakHyphen/>
        <w:t>IPO Member is able to control our Company as long as it owns at least 25% of our issued and outstanding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Founder Post-IPO Member’s interests may not be fully aligned with yours, which could lead to actions that are not in your best interest. Because the Founder Post-IPO Member holds part of its economic interest in our business through Virtu Financial, rather than through the public company, it may have conflicting interests with holders of shares of our Class A Common Stock. For example, the Founder Post-IPO Member may have a different tax position from us, which could influence its decisions regarding whether and when we should dispose of assets or incur new or refinance existing indebtedness, especially in light of the existence of the tax receivable agreements that we entered into in connection with the IPO, and whether and when we should undergo certain changes of control within the meaning of the tax receivable agreements or terminate the tax receivable agreements. In addition, the structuring of future transactions may take into consideration these tax or other considerations even where no similar benefit would accrue to us. See “Item 1A. Risk Factors - Risks Related to Our Organizational Structure - We are required to pay the Virtu Post-IPO Members and the Investor Post-IPO Stockholders for certain tax benefits we may claim, and the amounts we may pay could be significant.” In addition, pursuant to an exchange agreement, the holders of Virtu Financial Units and shares of our Class C Common Stock or Class D Common Stock are not required to participate in a proposed sale of our Company that is tax</w:t>
        <w:noBreakHyphen/>
        <w:t>free for our stockholders unless the transaction is also tax</w:t>
        <w:noBreakHyphen/>
        <w:t xml:space="preserve">free for such holders of Virtu Financial Units and shares of our Class C Common Stock or Class D Common Stock. This requirement could limit structural alternatives available to us in any such proposed transaction and could have the effect of discouraging transactions that might benefit you as a holder of shares of our Class A Common Stock. In addition, the Founder Post-IPO Member’s significant ownership in us and resulting ability to effectively control us may discourage someone from making a significant equity investment in us, or could discourage transactions involving a change in control,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transactions in which you as a holder of shares of our Class A Common Stock might otherwise receive a premium for your shares over the then</w:t>
        <w:noBreakHyphen/>
        <w:t>current market price.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opted out of Section 203 of the General Corporation Law of the State of Delaware (the “Delaware General Corporation Law”), which prohibits a publicly held Delaware corporation from engaging in a business combination transaction with an interested stockholder for a period of three years after the interested stockholder became such unless the transaction fits within an applicable exemption, such as board approval of the business combination or the transaction which resulted in such stockholder becoming an interested stockholder. Therefore, the Founder Post</w:t>
        <w:noBreakHyphen/>
        <w:t>IPO Member is able to transfer control of us to a third party by transferring its shares of our common stock (subject to certain restrictions and limitations), which would not require the approval of our Board of Directors or our other stockholders.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to the fullest extent permitted by law, the doctrine of “corporate opportunity” does not apply against the Founder Post-IPO Member, Mr. Viola, any of our non</w:t>
        <w:noBreakHyphen/>
        <w:t>employee directors or any of their respective affiliates in a manner that would prohibit them from investing in competing businesses or doing business with our clients or customers. In addition, subject to the restrictions on competitive activities described below, Mr. Cifu is permitted to become engaged in, or provide services to, any other business or activity in which Mr. Viola is currently engaged or permitted to become engaged, to the extent that Mr. Cifu’s level of participation in such businesses or activities is consistent with his current participation in such businesses and activities. The Amended and Restated Virtu Financial LLC Agreement provides that Mr. Viola, in addition to our other executive officers and our employees that are Virtu Post-IPO Members, including Mr. Cifu, may not directly or indirectly engage in certain competitive activities until the third anniversary of the date on which such person ceases to be an officer, director or employee of ours. Our non</w:t>
        <w:noBreakHyphen/>
        <w:t>employee directors are not subject to any such restriction. To the extent that the Founder Post-IPO Member, Mr. Viola, our non</w:t>
        <w:noBreakHyphen/>
        <w:t>employee directors or any of their respective affiliates invests in other businesses, they may have differing interests than our other stockholders. Messrs. Viola and Cifu also have business relationships outside of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unable to remain in compliance with the covenants contained in our Credit Agreement and our obligation to comply with these covenants may adversely affect our ability to operate our business.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covenants in our Credit Agreement may negatively impact our ability to finance future operations or capital needs or to engage in other business activities. Our Credit Agreement</w:t>
      </w:r>
      <w:r>
        <w:rPr>
          <w:color w:val="000000"/>
        </w:rPr>
        <w:t xml:space="preserve"> </w:t>
      </w:r>
      <w:r>
        <w:rPr>
          <w:rFonts w:ascii="Times New Roman;sans-serif" w:hAnsi="Times New Roman;sans-serif"/>
          <w:b w:val="false"/>
          <w:color w:val="000000"/>
          <w:sz w:val="20"/>
        </w:rPr>
        <w:t>restricts our ability to, among other things, incur additional indebtedness, dispose of assets, guarantee debt obligations, repay other indebtedness, pay dividends, pledge assets, make investments, including in certain of our operating subsidiaries, make acquisitions or consummate mergers or consolidations and engage in certain transactions with subsidiaries and affiliates.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failure to comply with the restrictions contained in our Credit Agreement could lead to an event of default, which could result in an acceleration of our indebtedness. Our future operating results may not be sufficient to enable compliance with the covenants in our Credit Agreement or to remedy such a default. In addition, in the event of an acceleration, we may not have or be able to obtain sufficient funds to refinance our indebtedness or to make any accelerated payments. Even if we were able to obtain new financing, we would not be able to guarantee that the new financing would be on commercially reasonable terms. If we default on our indebtedness, our business, financial condition and results of operation could suffer a material adverse effect.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exempt from certain corporate governance requirements since we are a “controlled company” within the meaning of the Nasdaq rules, and as a result our stockholders do not have the protections afforded by these corporate governance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Founder Post</w:t>
        <w:noBreakHyphen/>
        <w:t>IPO Member controls more than 50% of our combined voting power. As a result, we are considered a “controlled company” for purposes of the Nasdaq rules and corporate governance standards, and therefore we are permitted and may elect not to or may have elected not to, comply with certain Nasdaq corporate governance requirements, including those that would otherwise require our Board of Directors to have a majority of independent directors and require that we either establish a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do not have the same protections afforded to stockholders of companies that are subject to all of the Nasdaq rules and corporate governance standards, and the ability of our independent directors to influence our business policies and affairs may be reduced.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required to pay the Virtu Post</w:t>
        <w:noBreakHyphen/>
        <w:t>IPO Members and the Investor Post</w:t>
        <w:noBreakHyphen/>
        <w:t>IPO Stockholders for certain tax benefits we may claim, and the amounts we may pay could be significant.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Reorganization Transactions, we acquired equity interests in Virtu Financial from an affiliate of Silver Lake Partners (which, following a secondary offering completed in November 2015, no longer holds any equity interest in us) and the Temasek Pre-IPO Member in the Mergers. In addition, we used a portion of the net proceeds from our IPO and our Secondary Offerings (as defined below) to purchase Virtu Financial Units and corresponding shares of Class C Common Stock from certain Virtu Post-IPO Members, including affiliates of Silver Lake Partners (the “Silver Lake Post-IPO Members”), the Founder Post-IPO Member, and certain employees. These acquisitions of interests in Virtu Financial, along with certain subsequent exchanges of interests in Virtu Financial by current and former employees, resulted in tax basis adjustments to the assets of Virtu Financial that were allocated to us and our subsidiaries. Future acquisitions of interests in Virtu Financial are expected to produce favorable tax attributes.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such transactions. Both the existing and anticipated tax basis adjustments are expected to reduce the amount of tax that we would otherwise be required to pay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entered into three tax receivable agreements with the Virtu Post-IPO Members and the Investor Post-IPO Stockholders (one with the Founder Post-IPO Member, the Employee Trust, Virtu Employee Holdco and other post IPO investors, other than affiliates of Silver Lake Partners and affiliates of Temasek, another with the Investor Post-IPO Stockholders and the other with the Silver Lake Post-IPO Members) that provide for the payment by us to the Virtu Post-IPO Members and the Investor Post-IPO Stockholders (or their transferees of Virtu Financial Units or other assignees) of 85% of the amount of actual cash savings, if any, in U.S. federal, state and local income tax or franchise tax that we actually realize as a result of (i) any increase in tax basis in Virtu Financial’s assets resulting from (a) the acquisition of equity interests in Virtu Financial from an affiliate of Silver Lake Partners and Temasek, and the Temasek Pre-IPO Member in the Reorganization Transactions (which represents the unamortized portion of the increase in tax basis in Virtu Financial’s assets resulting from a prior acquisition of interests in Virtu Financial by an affiliate of Silver Lake Partners and Temasek, and the Temasek Pre-IPO Member), (b) the purchases of Virtu Financial Units (along with the corresponding shares of our Class C Common Stock or Class D Common Stock, as applicable) from certain of the Virtu Post-IPO Members using a portion of the net proceeds from the IPO or in any subsequent offering (including, without limitation, the Secondary Offerings), (c) exchanges by the Virtu Post-IPO Members of Virtu Financial Units (along with the corresponding shares of our Class C Common Stock or Class D Common Stock, as applicable) for shares of our Class A Common Stock or Class B Common Stock, as applicable, or (d) payments under the tax receivable agreements, (ii) any net operating losses available to us as a result of the Mergers and (iii) tax benefits related to imputed interest deemed arising as a result of payments made under the tax receivable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actual increase in tax basis, as well as the amount and timing of any payments under these tax receivable agreements, will vary depending upon a number of factors, including the timing of exchanges by the Virtu Post</w:t>
        <w:noBreakHyphen/>
        <w:t>IPO Members,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payments we are required to make under the tax receivable agreements, which represent 85% of the amount of actual cash savings, if any, in U.S. federal, state and local income tax or franchise tax that we actually realize,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benefits described above, future payments to the Virtu Post</w:t>
        <w:noBreakHyphen/>
        <w:t>IPO Members and the Investor Post</w:t>
        <w:noBreakHyphen/>
        <w:t>IPO Stockholders in respect of the purchases, the exchanges and the Mergers in connection with the IPO, the purchases and exchanges completed in connection with our subsequent public offerings, the Secondary Offerings, and exchanges by employees and other Virtu Post-IPO Members will range from</w:t>
      </w:r>
      <w:r>
        <w:rPr>
          <w:color w:val="EE2724"/>
        </w:rPr>
        <w:t xml:space="preserve"> </w:t>
      </w:r>
      <w:r>
        <w:rPr>
          <w:rFonts w:ascii="Times New Roman;sans-serif" w:hAnsi="Times New Roman;sans-serif"/>
          <w:b w:val="false"/>
          <w:color w:val="000000"/>
          <w:sz w:val="20"/>
        </w:rPr>
        <w:t>approximately $0.1 million to $22.1 million per year over the next 15 years. Future payments under the tax receivable agreements in respect of subsequent exchanges would be in addition to these amounts. The payments under the tax receivable agreements are not conditioned upon the Virtu Post</w:t>
        <w:noBreakHyphen/>
        <w:t>IPO Members’ or the Investor Post</w:t>
        <w:noBreakHyphen/>
        <w:t>IPO Stockholders’ continued ownership of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although we are not aware of any issue that would cause the Internal Revenue Service (the “IRS”) to challenge the tax basis increases or other benefits arising under the tax receivable agreements, the Virtu Post</w:t>
        <w:noBreakHyphen/>
        <w:t>IPO Members and the Investor Post</w:t>
        <w:noBreakHyphen/>
        <w:t>IPO Stockholders (or their transferees or other assignees) will not reimburse us for any payments previously made if such tax basis increases or other tax benefits are subsequently disallowed, except that any excess payments made to the Virtu Post</w:t>
        <w:noBreakHyphen/>
        <w:t>IPO Members and the Investor Post</w:t>
        <w:noBreakHyphen/>
        <w:t xml:space="preserve">IPO Stockholders will be netted against future payments otherwise to be made under the tax receivable agreements, if any, after our determination of such excess. As a result, in such circumstances we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make payments to the Virtu Post</w:t>
        <w:noBreakHyphen/>
        <w:t>IPO Members and the Investor Post</w:t>
        <w:noBreakHyphen/>
        <w:t>IPO Stockholders under the tax receivable agreements that are greater than our actual cash tax savings and may not be able to recoup those payments, which could negatively impact our liquidity.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increased tax deductions and tax basis and other benefits covered by the tax receivable agreements. As a result, upon a change of control, we could be required to make payments under a tax receivable agreement that are greater than the specified percentage of our actual cash tax savings, which could negatively impact our liquidity.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tax receivable agreements provide that in the case of a change in control of the Company, the Virtu Post</w:t>
        <w:noBreakHyphen/>
        <w:t>IPO Members and the Investor Post</w:t>
        <w:noBreakHyphen/>
        <w:t>IPO Stockholders have the option to terminate the applicable tax receivable agreement, and we are required to make a payment to such electing party in an amount equal to the present value of future payments (calculated using a discount rate equal to the lesser of 6.5% or LIBOR plus 100 basis points, which may differ from our, or a potential acquirer’s, then</w:t>
        <w:noBreakHyphen/>
        <w:t>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the Virtu Post</w:t>
        <w:noBreakHyphen/>
        <w:t>IPO Members and the Investor Post</w:t>
        <w:noBreakHyphen/>
        <w:t>IPO Stockholders have interests that differ from or are in addition to those of our other shareholders. In addition, we could be required to make payments under the tax receivable agreements that are substantial and in excess of our, or a potential acquirer’s, actual cash savings in income tax.</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Finally, because we are a holding company with no operations of our own, our ability to make payments under the tax receivable agreements are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 which could negatively impact our results of operations and cash flows and could also affect our liquidity in periods in which such payments are made.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Substantial future sales of shares of our Class A common stock in the public market could cause our stock price to fall.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89,092,686 shares of Class A Common Stock outstanding and 4,940,674 shares of Class A Common Stock issuable pursuant to the Amended and Restated 2015 Management Incentive Plan (as defined below) upon the vesting of granted but unvested restricted stock units, excluding 5,070,530 shares of Class A Common Stock issuable pursuant to the Amended and Restated 2015 Management Incentive Plan but not yet granted, and 68,699,738 shares of Class A Common Stock issuable upon potential exchanges and/or conversions. Of these shares, 83,725,007 shares sold in the IPO and the Secondary Offerings are freely tradable without further restriction under the Securities Act. The remaining balance of 79,008,091 shares of Class A Common Stock outstanding as of December 31, 2023 (including shares issuable upon exchange and/or conversion, or vesting) are “restricted securities,” as that term is defined under Rule 144 of the Securities Act. The holders of these 79,008,091 shares of our Class A Common Stock, including shares issuable upon exchange, conversion or vesting as described above, are entitled to dispose of their shares pursuant to (i) the applicable holding period, volume and other restrictions of Rule 144 or (ii) another exemption from registration under the Securities Act. Additional sales of a substantial number of our shares of Class A Common Stock in the public market, or the perception that sales could occur, could have a material adverse effect on the price of our Class A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filed a registration statement under the Securities Act registering 26,000,000 shares of our Class A Common Stock reserved for issuance under our Amended and Restated 2015 Management Incentive Plan, 5,070,530 of which are issuable, and we entered into the Registration Rights Agreement (as defined below) pursuant to which we granted demand and piggyback registration rights to the Founder Post-IPO Member, Temasek, another former stockholder, and piggyback registration rights to certain of the other Virtu Post-IPO Members.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Failure to establish and maintain effective internal control over financial reporting could have a material adverse effect on our business, financial condition, results of operations and cash flows, and stock price.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Maintaining effective internal control over financial reporting is necessary for us to produce reliable financial reports and is important in helping to prevent financial fraud. If we are unable to maintain adequate internal controls over financial reporting, our business and operating results could be harmed. Under applicable SEC rules we must maintain internal controls over financial reporting to satisfy the requirements of Section 404 of the Sarbanes-Oxley Act of 2002 (“Sarbanes-Oxley”) and the related rules of the SEC, which require, among other things, our management to assess annually the effectiveness of our internal control over financial reporting and our independent registered public accounting firm to issue a report on the effectiveness of internal control over financial reporting with our Annual Report on Form 10-K. The internal control assessment required by Section 404 of Sarbanes-Oxley may divert internal resources and we may experience higher operating expenses, higher independent auditor and consulting fees during the implementation of these changes. Any material weaknesses or any failure to implement required new or improved controls or difficulties encountered in their implementation could cause us to fail to meet our reporting obligations or result in material misstatements in our consolidated financial statements. If our management or our independent registered public accounting firm were to conclude in their reports that our internal control over financial reporting was not effective, investors could lose confidence in our reported financial information, and the trading price of our Class A Common Stock could drop significantly. Failure to comply with Section 404 of Sarbanes-Oxley could potentially subject us to sanctions or investigations by the SEC, FINRA or other regulatory authorities, as well as increase the risk of liability arising from litigation based on securities law.</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intend to pay regular dividends to our stockholders, but our ability to do so may be limited by our holding company structure, contractual restrictions and regulatory requirements.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pay cash dividends on a quarterly basis. See Item 5, “Market for Registrant’s Common Equity, Related Stockholder Matters and Issuer Purchases of Equity Securities.” However, we are a holding company, with our principal asset being our direct and indirect equity interests in Virtu Financial, and we will have no independent means of generating revenue. Accordingly, as the sole managing member of Virtu Financial, we intend to cause, and will rely on, Virtu Financial to make distributions to its equity holders, including the Founder Post-IPO Member, the Employee Trust, Virtu Employee Holdco and us, to fund our dividends. When Virtu Financial makes such distributions, the other equity holders of Virtu Financial will be entitled to receive equivalent distributions pro rata based on their economic interests in Virtu Financial. In order for Virtu Financial to make distributions, it may need to receive distributions from its subsidiaries. Certain of these subsidiaries are or may in the future be subject to regulatory capital requirements that limit the size or frequency of distributions. See “Item 1A. Risk Factors - Risks Related to Our Business - Non-compliance with applicable laws or regulatory requirements could subject us to sanctions and could negatively impact our reputation, prospects, revenues and earnings.” If Virtu Financial is unable to cause these subsidiaries to make distributions, we may not receive adequate distributions from Virtu Financial in order to fund our dividends.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will periodically review the cash generated from our business and the capital expenditures required to finance our global growth plans and determine whether to modify the amount of regular dividends and/or declare periodic special dividends to our stockholders. Our Board of Directors will take into account general economic and business conditions, including our financial condition, results of operations and cash flows, capital requirements, contractual restrictions, including restrictions contained in our Credit Agreement, business prospects and other factors that our Board of Directors considers relevant. There can be no assurance that our Board of Directors will not reduce the amount of regular cash dividends or cause us to cease paying dividends altogether. In addition, our Credit Agreement limits the amount of distributions our subsidiaries, including Virtu Financial, can make to us and the purposes for which distributions could be made. Accordingly, we may not be able to pay dividends even if our Board of Directors would otherwise deem it appropriate. See “Item 7. Management’s Discussion and Analysis of Financial Condition and Results of Operations - Liquidity and Capital Resources.”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Provisions in our charter documents and certain rules imposed by regulatory authorities may delay or prevent our acquisition by a third party.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by-laws contain several provisions that may make it more difficult or expensive for a third party to acquire control of us without the approval of our Board of Directors. These provisions, which may delay, prevent or deter a merger, acquisition, tender offer, proxy contest or other transaction that stockholders may consider favorable, include the following, some of which may only become effective when the Founder Post-IPO Member or any of its affiliates or permitted transferees no longer beneficially own shares representing 25% of our issued and outstanding common stock (the “Triggering Event”):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10 vote per share feature of our Class B Common Stock and Class D Common Stock;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division of our Board of Directors into three classes and the election of each class for three-year terms;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sole ability of the Board of Directors to fill a vacancy created by the expansion of the Board of Directors;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advance notice requirements for stockholder proposals and director nominations;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after the Triggering Event, provisions limiting stockholders' ability to call special meetings of stockholders, to require special meetings of stockholders to be called and to take action by written consent;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after the Triggering Event, in certain cases, the approval of holders of at least 75% of the shares entitled to vote generally on the making, alteration, amendment or repeal of our certificate of incorporation or by-laws will be required to adopt, amend or repeal our by-laws, or amend or repeal certain provisions of our certificate of incorporation;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after the Triggering Event, the required approval of holders of at least 75% of the shares entitled to vote at an election of the directors to remove directors, which removal may only be for cause;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Board of Directors.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of our amended and restated certificate of incorporation and by-laws could discourage potential takeover attempts and reduce the price that investors might be willing to pay for shares of our Class A Common Stock in the future, which could reduce the market price of our Class A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 third party attempting to acquire us or a substantial position in our Class A Common Stock may be delayed or ultimately prevented from doing so by change in ownership or control regulations to which certain of our regulated subsidiaries are subject. FINRA Rule 1017 generally provides that FINRA approval must be obtained in connection with any transaction resulting in a single person or entity owning, directly or indirectly, 25% or more of a member firm’s equity and would include a change in control of a parent company. Similarly, VFIL, VETL and VIUK are subject to change in control regulations promulgated by the CBI and/or the FCA. We may also be subject to similar restrictions in other jurisdictions in which we operate. These regulations could discourage potential takeover attempts and reduce the price that investors might be willing to pay for shares of our Class A Common Stock in the future, which could reduce the market price of our Class A Common Stock.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stock price may be volatile.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is subject to significant fluctuations in response to, among other factors, variations in our operating results and market conditions specific to our business. Furthermore, in recent years the stock market has experienced significant price and volume fluctuations. This volatility has had a significant impact on the market price of securities issued by many companies, including companies in our industry. The changes frequently appear to occur without regard to the operating performance of the affected companies. As such, the price of our Class A Common Stock could fluctuate based upon factors that have little or nothing to do with us, and these fluctuations could materially reduce the price of our Class A Common Stock and materially affect the value of your investment.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incur increased costs as a result of being a public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incur significant levels of legal, accounting and other expenses. Sarbanes-Oxley and related rules of the SEC, together with the listing requirements of Nasdaq, impose significant requirements relating to disclosure controls and procedures and internal control over financial reporting. We have incurred costs as a result of compliance with these public company requirements, and we may need to hire additional qualified personnel in order to continue to satisfy these public company requirements. We are required to expend considerable time and resources complying with public company regulations. Furthermore, if we are unable to satisfy our obligations as a public company, we could be subject to delisting of our Class A Common Stock, fines, sanctions and other regulatory action.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stock price and trading volume could decline as a result of inaccurate or unfavorable research, or the cessation of research cover, about our business published by securities or industry analysts.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may be affected by the research and reports that securities or industry analysts publish about us or our business. If one or more of the analysts who covers us downgrades our Class A Common Stock or publishes inaccurate or unfavorable research about our business, our stock price could decline. In addition, the analysts’ projections may have little or no relationship to the results we actually achieve and could cause our stock price to decline if we fail to meet their projections. If one or more of these analysts ceases coverage of us or fails to publish reports on us regularly, our stock price or trading volume could decline.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may incur losses as a result of unforeseen or catastrophic events, including the emergence of another pandemic, terrorist attacks, geopolitical and/or global conflict, war, extreme weather events or other natural disasters.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unforeseen or catastrophic events, including the emergence of a pandemic, such as COVID-19 or other widespread health emergency (or concerns over the possibility of such an emergency), vandalism, terrorist attacks, geopolitical and/or global conflict, war, extreme terrestrial or solar weather events or other natural disasters, could create economic and financial disruptions, and could lead to operational difficulties (including travel limitations) that could impair our ability to manage our businesses.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employed efforts to develop, implement and maintain reasonable disaster recovery and business continuity plans, we cannot guarantee that our systems will fully recover after a significant business disruption in a timely fashion or at all. Our ability to conduct business may be adversely impacted by a disruption in the infrastructure that supports our businesses and the communities in which we are located. This may include a disruption involving electrical, satellite, undersea cable or other communications, internet, transportation or other services facilities used by us, our employees or third parties with which we conduct business. If we are prevented from using any of our current trading operations, or if our business continuity operations do not work effectively, we may not have complete business continuity, which could have a material adverse effect on our business, financial condition, results of operations and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Virtu has established a Global Security team that, together with the Company's Chief Information Security Officer (“CISO”), is responsible for the strategic planning, execution, and enforcement of security initiatives and policies for the Company’s business units (the “Security Program”). The CISO reports directly to the Chief Executive Officer, and together with the Global Security team, possesses significant experience in various roles involving managing information security, developing cybersecurity strategy, and implementing effective information and cybersecurity programs. As part of its Security Program, the Company has developed policies and procedures governing cybersecurity (the “Cybersecurity Program”).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Virtu’s Cybersecurity Program is driven by a threat analysis, laying out standards and requirements pertaining to, but not limited to, penetration testing, endpoint protection, incident management, access controls, mobile security, data classification, third-party access, encryption, system hardening and patching, vulnerability management, passwords, data destruction, physical security, and vendor risk assessment. We also conduct training and awareness exercises to mitigate employee-related cyber risks. In addition to these elements of the Cybersecurity Program aimed at mitigating risk, the Company has developed an Incident Management procedure that addresses escalation and reporting of security incidents in the event that they do occur and has conducted various cross-functional table top exercises to develop and refine a coordinated response plan. The Company also maintains insurance coverage that, subject to its terms and conditions, is intended to address costs associated with certain aspects of cyber-related incidents. These processes are intended to identify and remediate cybersecurity incidents, and also provide the framework for our proactive identification, assessment, and management of potentially material risks from a wide range of cybersecurity threats. Risks identified through these processes are identified to and evaluated by our CISO, who periodically reports to our Board and Risk Committee as described below on any such risks determined by the Global Security team to be potentially material.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Program is periodically evaluated by internal and external experts through penetration and vulnerability testing and other exercises which help us identify and assess material risks, evaluate the effectiveness of our Security Program in mitigating and managing these risks, and improve our security measures and planning, including by comparison to other companies and to industry standards. The results of these assessments are reviewed by our CISO and other members of management and are shared with the Risk Committee of our Board of Directors (the “Risk Committee”).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Risk Committee assists our Board of Directors (the “Board”) in its oversight of cybersecurity risk in accordance with its charter. The Risk Committee receives at least annually, and the Board receives periodically reports from our CISO and other members of senior management, which include updates on the Company’s cyber risks and threats, its Cybersecurity Program, the status of projects to augment our information security systems, assessments of the Security Program, and the emerging threat landscape.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a number of cybersecurity risks in connection with our business. Although we maintain and enforce our Cybersecurity Program, we may not detect or prevent all attempts to compromise our systems or otherwise cause breaches or disruptions, which could result in material impacts to our operations or financial condition. As of the date of the filing of this Annual Report on Form 10-K, we are not aware of any material impact to our results of operations or financial conditions resulting from cyberattacks or other information security breaches. For more information about the cybersecurity risks we face, see the risk factor entitled “We could be the target of a significant cyber-attack, threat or incident that impairs internal systems, results in adverse consequences to information our system process, store or transmit or causes reputation or monetary damages as a consequence” in Item 1A-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headquarters are located in leased office space at 1633 Broadway, New York, NY 10019. We also lease space for our offices in the U.S., Canada, Europe, and Asia-Pacific, and services in all segments are performed in each of these locations. We believe that our existing facilities are adequate to meet our current requirements.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in the “Legal Proceedings” section in Note 14 “Commitments, Contingencies and Guarantees” to the Company’s Consolidated Financial Statements included in Part II Item 8 “Financial Statements and Supplementary Data”, which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Class A Common Stock trade on Nasdaq under the ticker symbol “VIRT.” There is no established public trading market for Class B Common Stock, Class C Common Stock or Class D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information made available to us by the transfer agent, as of February 8, 2024, there are thirty-five stockholders of record of our Class A Common Stock, one of which was Cede &amp; Co., a nominee for The Depository Trust Company, zero stockholders of record of our Class B Common Stock, six stockholders of record of our Class C Common Stock and one stockholder of record of our Class D Common Stock. All of our Class A Common Stock held by brokerage firms, banks and other financial institutions as nominees for beneficial owners is considered to be held of record by Cede &amp; Co., who is considered to be one stockholder of record. A substantially greater number of holders of our Class A Common Stock are “street name” or beneficial holders, whose shares of Class A Common Stock are held of record by banks, brokers and other financial institutions. Because such shares of Class A Common Stock are held on behalf of stockholders, and not by the stockholders directly, and because a stockholder can have multiple positions with different brokerage firms, banks and other financial institutions, we are unable to determine the total number of stockholders we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 and Capital Return Policy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adopted a policy of returning excess cash to our stockholders. The Board of Directors declared and we paid quarterly cash dividends of $0.24 during the years ended December 31, 2023, 2022 and 2021. The Company intends to continue paying regular quarterly dividends to holders of our Class A Common Stock and Class B Common Stock and to holders of RSUs and RSAs (each as defined below); however, the payment of dividends will be subject to general economic and business conditions, including the Company’s financial condition, results of operations and cash flows, capital requirements, contractual restrictions, including restrictions contained in our Credit Agreement, regulatory restrictions, business prospects and other factors that the Company’s Board of Directors considers relevant. The terms of the Credit Agreement contain a number of covenants, including a restriction on our and our restricted subsidiaries’ ability to pay dividends on, or make distributions in respect of, our equity interests. See “Item 7. Management’s Discussion and Analysis of Financial Condition and Results of Operations - Liquidity and Capital Resources - Long-Term Borrowings.”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Stock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performance graph and related information shall not be deemed “soliciting material” or to be “filed” with the Securities and Exchange Commission, nor shall such information be incorporated by reference into any future filing under the Securities Act or the Exchange Act except to the extent we specifically incorporate it by reference into such filing. Our stock price performance shown in the graph below is not indicative of future stock price performance.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stock performance graph below compares the performance of an investment in our Class A Common Stock, from December 31, 2018 through December 31, 2023, with the S&amp;P 500 Index and the NYSE ARCA Securities Broker/Dealer Index. The graph assumes $100 was invested in our Class A Common Stock, the S&amp;P 500 Index and the NYSE Arca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Broker/Dealer Index. It assumes that dividends were reinvested on the date of payment without payment of any commissions or consideration of income taxes.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6496050" cy="4572000"/>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2"/>
                    <a:stretch>
                      <a:fillRect/>
                    </a:stretch>
                  </pic:blipFill>
                  <pic:spPr bwMode="auto">
                    <a:xfrm>
                      <a:off x="0" y="0"/>
                      <a:ext cx="6496050" cy="4572000"/>
                    </a:xfrm>
                    <a:prstGeom prst="rect">
                      <a:avLst/>
                    </a:prstGeom>
                  </pic:spPr>
                </pic:pic>
              </a:graphicData>
            </a:graphic>
          </wp:inline>
        </w:drawing>
      </w:r>
    </w:p>
    <w:tbl>
      <w:tblPr>
        <w:tblW w:w="11786" w:type="dxa"/>
        <w:jc w:val="center"/>
        <w:tblInd w:w="0" w:type="dxa"/>
        <w:tblLayout w:type="fixed"/>
        <w:tblCellMar>
          <w:top w:w="28" w:type="dxa"/>
          <w:left w:w="28" w:type="dxa"/>
          <w:bottom w:w="28" w:type="dxa"/>
          <w:right w:w="28" w:type="dxa"/>
        </w:tblCellMar>
      </w:tblPr>
      <w:tblGrid>
        <w:gridCol w:w="268"/>
        <w:gridCol w:w="209"/>
        <w:gridCol w:w="214"/>
        <w:gridCol w:w="109"/>
        <w:gridCol w:w="109"/>
        <w:gridCol w:w="109"/>
        <w:gridCol w:w="270"/>
        <w:gridCol w:w="271"/>
        <w:gridCol w:w="136"/>
        <w:gridCol w:w="109"/>
        <w:gridCol w:w="109"/>
        <w:gridCol w:w="109"/>
        <w:gridCol w:w="277"/>
        <w:gridCol w:w="264"/>
        <w:gridCol w:w="136"/>
        <w:gridCol w:w="109"/>
        <w:gridCol w:w="109"/>
        <w:gridCol w:w="109"/>
        <w:gridCol w:w="306"/>
        <w:gridCol w:w="235"/>
        <w:gridCol w:w="136"/>
        <w:gridCol w:w="109"/>
        <w:gridCol w:w="109"/>
        <w:gridCol w:w="109"/>
        <w:gridCol w:w="277"/>
        <w:gridCol w:w="264"/>
        <w:gridCol w:w="136"/>
        <w:gridCol w:w="109"/>
        <w:gridCol w:w="109"/>
        <w:gridCol w:w="109"/>
        <w:gridCol w:w="270"/>
        <w:gridCol w:w="271"/>
        <w:gridCol w:w="136"/>
        <w:gridCol w:w="109"/>
        <w:gridCol w:w="109"/>
        <w:gridCol w:w="109"/>
        <w:gridCol w:w="270"/>
        <w:gridCol w:w="271"/>
        <w:gridCol w:w="136"/>
        <w:gridCol w:w="109"/>
        <w:gridCol w:w="109"/>
        <w:gridCol w:w="109"/>
        <w:gridCol w:w="270"/>
        <w:gridCol w:w="271"/>
        <w:gridCol w:w="136"/>
        <w:gridCol w:w="109"/>
        <w:gridCol w:w="109"/>
        <w:gridCol w:w="109"/>
        <w:gridCol w:w="277"/>
        <w:gridCol w:w="264"/>
        <w:gridCol w:w="136"/>
        <w:gridCol w:w="109"/>
        <w:gridCol w:w="109"/>
        <w:gridCol w:w="109"/>
        <w:gridCol w:w="306"/>
        <w:gridCol w:w="235"/>
        <w:gridCol w:w="136"/>
        <w:gridCol w:w="109"/>
        <w:gridCol w:w="109"/>
        <w:gridCol w:w="109"/>
        <w:gridCol w:w="306"/>
        <w:gridCol w:w="235"/>
        <w:gridCol w:w="136"/>
        <w:gridCol w:w="327"/>
        <w:gridCol w:w="541"/>
        <w:gridCol w:w="187"/>
      </w:tblGrid>
      <w:tr>
        <w:trPr/>
        <w:tc>
          <w:tcPr>
            <w:tcW w:w="26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091" w:type="dxa"/>
            <w:gridSpan w:val="60"/>
            <w:tcBorders/>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12/31/2018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6/28/2019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6/30/2020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6/30/2021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6/30/2022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12/30/2022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06/30/2023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12/29/2023</w:t>
            </w:r>
          </w:p>
        </w:tc>
      </w:tr>
      <w:tr>
        <w:trPr/>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Virtu Financial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86.27 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65.14 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98.41 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115.46 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122.67 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97.50 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86.84 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70.84 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86.20 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S&amp;P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117.35 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128.88 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123.67 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149.83 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171.43 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190.13 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151.00 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153.16 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177.53 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190.27 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NYSE Arca Securities Broker/Dealer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114.54 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234.81 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Stock and Common Units Repurchases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 </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6, 2020, the Company's Board of Directors authorized a new share repurchase program of up to $100.0 million in Class A common stock and Virtu Financial Units by December 31, 2021. On February 11, 2021, the Company's Board of Directors authorized the expansion of the program to $170 million. On May 4, 2021 the Company's Board of directors authorized the expansion of the program, increasing the total authorized to $470 million and extending the duration of the program through May 4, 2022. Additionally, on November 3, 2021 the Company's Board of Directors authorized the expansion of the program by an additional $750 million to $1,220 million total and extending the duration of the program through November 3, 2023, which was subsequently extended through December 31, 2024. The Company may repurchase shares from time to time in open market transactions, privately negotiated transactions or by other means. Repurchases may also be 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 There are no assurances that any further repurchases will actually occur. From the inception of the program through December 31, 2023, the Company has repurchased approximately 43.6 million shares of Class A Common Stock and Virtu Financial Units for approximately $1,109.6 million. The Company has approximately $110.4 million of remaining capacity for future purchases of shares of Class A Common Stock and Virtu Financial Units under the program.</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about the Company’s purchases of its Class A Common Stock and Class C Common Stock during the three months ended December 31, 2023:</w:t>
      </w:r>
    </w:p>
    <w:tbl>
      <w:tblPr>
        <w:tblW w:w="10205" w:type="dxa"/>
        <w:jc w:val="center"/>
        <w:tblInd w:w="0" w:type="dxa"/>
        <w:tblLayout w:type="fixed"/>
        <w:tblCellMar>
          <w:top w:w="28" w:type="dxa"/>
          <w:left w:w="28" w:type="dxa"/>
          <w:bottom w:w="28" w:type="dxa"/>
          <w:right w:w="28" w:type="dxa"/>
        </w:tblCellMar>
      </w:tblPr>
      <w:tblGrid>
        <w:gridCol w:w="665"/>
        <w:gridCol w:w="458"/>
        <w:gridCol w:w="466"/>
        <w:gridCol w:w="109"/>
        <w:gridCol w:w="109"/>
        <w:gridCol w:w="109"/>
        <w:gridCol w:w="659"/>
        <w:gridCol w:w="417"/>
        <w:gridCol w:w="418"/>
        <w:gridCol w:w="109"/>
        <w:gridCol w:w="109"/>
        <w:gridCol w:w="109"/>
        <w:gridCol w:w="258"/>
        <w:gridCol w:w="733"/>
        <w:gridCol w:w="143"/>
        <w:gridCol w:w="109"/>
        <w:gridCol w:w="109"/>
        <w:gridCol w:w="109"/>
        <w:gridCol w:w="865"/>
        <w:gridCol w:w="655"/>
        <w:gridCol w:w="657"/>
        <w:gridCol w:w="109"/>
        <w:gridCol w:w="109"/>
        <w:gridCol w:w="109"/>
        <w:gridCol w:w="349"/>
        <w:gridCol w:w="1874"/>
        <w:gridCol w:w="280"/>
      </w:tblGrid>
      <w:tr>
        <w:trPr/>
        <w:tc>
          <w:tcPr>
            <w:tcW w:w="6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w:t>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October 1, 2023 -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 Virtu Financial Units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1,039,179 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1,008,207 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136,271,227 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November 1, 2023 -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 Virtu Financial Units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661,261 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658,939 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124,606,029 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 Virtu Financial Units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731,810 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730,673 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110,402,519 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Common Stock / Virtu Financial Unit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2,432,250 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2,397,819 </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110,402,519 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the repurchase of 34,431 shares from employees in order to satisfy statutory tax withholding requirements upon the net settlement of equity awards for the three months ended December 31, 2023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pursuant to the Exchange Agreement, certain current and former employees elected to exchange 186,394 units in Virtu Financial held directly or on their behalf by Virtu Employee Holdco LLC (“Employee Holdco”) on a one-for-one basis for shares of Class A Common Stock. The shares of our Class A Common Stock were issued in reliance on the registration exemption contained in Section 4(a)(2) of the Securities Act, on the basis that the transaction did not involve a public offering. No underwriters were involved in the transaction.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shares of common stock available for future awards under all of the Company’s equity compensation plans as of December 31, 2023:</w:t>
      </w:r>
    </w:p>
    <w:tbl>
      <w:tblPr>
        <w:tblW w:w="10205" w:type="dxa"/>
        <w:jc w:val="center"/>
        <w:tblInd w:w="0" w:type="dxa"/>
        <w:tblLayout w:type="fixed"/>
        <w:tblCellMar>
          <w:top w:w="28" w:type="dxa"/>
          <w:left w:w="28" w:type="dxa"/>
          <w:bottom w:w="28" w:type="dxa"/>
          <w:right w:w="28" w:type="dxa"/>
        </w:tblCellMar>
      </w:tblPr>
      <w:tblGrid>
        <w:gridCol w:w="524"/>
        <w:gridCol w:w="461"/>
        <w:gridCol w:w="464"/>
        <w:gridCol w:w="109"/>
        <w:gridCol w:w="109"/>
        <w:gridCol w:w="109"/>
        <w:gridCol w:w="499"/>
        <w:gridCol w:w="465"/>
        <w:gridCol w:w="390"/>
        <w:gridCol w:w="109"/>
        <w:gridCol w:w="109"/>
        <w:gridCol w:w="109"/>
        <w:gridCol w:w="740"/>
        <w:gridCol w:w="536"/>
        <w:gridCol w:w="537"/>
        <w:gridCol w:w="109"/>
        <w:gridCol w:w="109"/>
        <w:gridCol w:w="109"/>
        <w:gridCol w:w="436"/>
        <w:gridCol w:w="1238"/>
        <w:gridCol w:w="243"/>
        <w:gridCol w:w="109"/>
        <w:gridCol w:w="109"/>
        <w:gridCol w:w="109"/>
        <w:gridCol w:w="817"/>
        <w:gridCol w:w="637"/>
        <w:gridCol w:w="910"/>
      </w:tblGrid>
      <w:tr>
        <w:trPr/>
        <w:tc>
          <w:tcPr>
            <w:tcW w:w="5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reflected in first column)</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Amended and Restated 2015 Management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1,511,776 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5,070,530 </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1,511,776 </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5,070,530 </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management’s discussion and analysis covers the years ended December 31, 2023, and 2022 should be read in conjunction with the audited Consolidated Financial Statements and accompanying notes for the year ended December 31, 2023, which are included in Item 8, of the Company's Annual Report on Form 10-K for the year ended December 31, 2023. This management's discussion and analysis contains forward-looking statements that involve risks and uncertainties. Our actual results could differ materially from those discussed below. Unless otherwise stated, all amounts are presented in thousands of dollars.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 discussion around our results of operations for the year ended December 31, 2022 and for a comparison of our results of operations for the year ended December 31, 2022 and year ended December 31, 2021, see Item 7, Management’s Discussion and Analysis of Financial Condition and Results of Operations, of our Annual Report on Form 10-K for fiscal year ended December 31, 2022, filed with the SEC on February 17, 2023.</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Annual Report on Form 10-K. By their nature, forward-looking statements involve known and unknown risks and uncertainties, including those described under the heading “Risk Factors” in our Annual Report on Form 10-K because they relate to events and depend on circumstances that may or may not occur in the future. Although we believe that the forward-looking statements contained in this Annual Report on Form 10-K are based on reasonable assumptions, you should be aware that many factors, including those described under the heading “Risk Factors” in this Annual Report on Form 10-K, could affect our actual financial results or results of operations and cash flows, and could cause actual results to differ materially from those in such forward-looking statements, including but not limited to:</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volatility in levels of overall trading activity;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dependence upon trading counterparties, clients and clearing houses performing their obligations to us;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failures of our customized trading platform;</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inherent to the electronic market making business and trading generally;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recent SEC proposals focused on equity markets which may, if adopted, materially change U.S. equity market structure, including by reducing overall trading volumes, reducing off-exchange trading and market making opportunities, requiring additional tools, platforms and services to register as an ATS or exchange, and generally increasing the implicit and explicit cost as well as the complexity of the U.S. equities eco-system for all participants;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additionally, enhanced regulatory, congressional, and media scrutiny, including attention to electronic trading, wholesale market making and off-exchange trading, payment for order flow, and other market structure topics may result in additional potential changes in regulation or law which could have an adverse effect on our business as well as adversely impact the public's perception of us or of companies in our industry;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increased competition in market making activities and execution services;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dependence on continued access to sources of liquidity;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self-clearing and other operational elements of our business, including but limited to risks related to funding and liquidity;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obligations to comply with applicable regulatory capital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litigation or other legal and regulatory-based liabilities;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obligations to comply with laws and regulations applicable to our operations in the U.S. and abroad;</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need to maintain and continue developing proprietary technologies;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capacity constraints, system failures, and delays;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dependence on third-party infrastructure or systems;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use of open source software;</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 to protect or enforce our intellectual property rights in our proprietary technology;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 to protect confidential and proprietary information;</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 to protect our systems from internal or external cyber threats that could result in damage to our computer systems, business interruption, loss of data, monetary payment demands or other consequences;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international operations and expansion, including failed acquisitions or dispositions;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the effects of and changes in economic conditions (such as volatility in the financial markets, increased inflation, monetary conditions and foreign currency and continued or exacerbated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geopolitical conflicts, natural disasters, pandemics or extreme weather;</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potential growth and associated corporate actions;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inability to access, or delay in accessing, the capital markets to sell shares or raise additional capital;</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loss of key executives and failure to recruit and retain qualified personnel; and</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risks associated with losing access to a significant exchange or other trading venue.</w:t>
      </w:r>
    </w:p>
    <w:p>
      <w:pPr>
        <w:pStyle w:val="TextBody"/>
        <w:bidi w:val="0"/>
        <w:spacing w:before="0" w:after="0"/>
        <w:ind w:left="0" w:right="0" w:firstLine="18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forward-looking statements made herein are made only as of the date of this Annual Report on Form 10-K.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Annual Report on Form 10-K.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of Preparation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for the years ended December 31, 2023 and 2022 reflect our operations and those of our consolidated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options,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two operating segments: Market Making and Execution Services, and one non-operating segment: Corporate. Our management allocates resources, assesses performance and manages our business according to these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Market Making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overall level of volumes and realized volatility as well as the attractiveness of the order flow we interact with and the level of retail participation in the various markets we serve have the greatest impact on the financial performance of our market making businesses. Increases in market volatility can cause bid/ask spreads to widen as market participants are more willing to pay market makers like us to transact immediately and as a result, market makers' capture rate per notional amount transacted may increase.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Execution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segment contains investments principally in strategic financial services-oriented opportunities and maintains corporate overhead expenses and all other income and expenses that are not attributable to our other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1, 2019, the “ITG Closing Date”, we announced the completed acquisition of Investment Technology Group, Inc. and its subsidiaries (“ITG”) in an all-cash transaction (the “ITG Acquisition”). In connection with the ITG Acquisition, Virtu Financial, VFH Parent LLC, a Delaware limited liability company and a subsidiary of Virtu Financial (“VFH”), and Impala Borrower LLC (the “Acquisition Borrower”), a subsidiary of the Company, entered into a credit agreement, with the lenders party thereto, Jefferies Finance LLC, as administrative agent and Jefferies Finance LLC and RBC Capital Markets, as joint lead arrangers and joint bookrunners (the “Acquisition Credit Agreement”). The Acquisition Credit Agreement provided (i) a senior secured first lien term loan (together with the Acquisition Incremental Term Loans, as defined below; the “Acquisition First Lien Term Loan Facility”) in an aggregate principal amount of $1,500.0 million, drawn in its entirety on the ITG Closing Date, of which approximately $404.5 million was borrowed by VFH to repay all amounts outstanding under a previous term loan facility and the remaining approximately $1,095.0 million borrowed by the Acquisition Borrower to finance the consideration and fees and expenses paid in connection with the ITG Acquisition, and (ii) a $50.0 million senior secured first lien revolving facility to VFH (the “Acquisition First Lien Revolving Facility”), with a $5.0 million letter of credit subfacility and a $5.0 million swingline subfacility. After the ITG Closing Date, VFH assumed the obligations of the Acquisition Borrower in respect of the acquisition term loans. On October 9, 2019, VFH entered into an amendment (“Amendment No. 1”), which amended the Acquisition Credit Agreement dated as of March 1, 2019, to, among other things, provide for $525.0 million in aggregate principal amount of incremental term loans (the “Acquisition Incremental Term Loans”), and amend the related collateral agreement. On March 2, 2020, VFH entered into a second amendment (“Amendment No. 2”), which further amended the Acquisition Credit Agreement to, among other things, reduce the interest rate spread over adjusted London Interbank Offered Rate (“LIBOR”) or the alternate base rate by 0.50% per annum and eliminated any step-down in the spread based on VFH's first lien leverage ratio.</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13, 2022 (the “Credit Agreement Closing Date”), VFH and Virtu Financial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 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Amended and Restated 2015 Management Incentive Plan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to an aggregate of 21,000,000 shares of Class A Common Stock. On April 22, 2022, the Company’s Board of Directors adopted another amendment to the Company’s Amended and Restated 2015 Management Incentive Plan to increase the number of shares to an aggregate of 26,000,000 shares of Class A Common Stock and the amendment was approved by the Company’s shareholders at the Company’s annual meeting of shareholders on June 2,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non-qualified stock options to purchase 9,228,000 shares were granted at the IPO per share price, each of which vested in equal annual installments over a period of four years from the grant date and expire not later than 10 years from the grant date. Subsequent to the IPO and through December 31, 2023, options to purchase 1,643,750 shares in the aggregate were forfeited and 6,072,474 options were exercised. The fair value of the stock option grants was determined through the application of the Black-Scholes-Merton model and was recognized on a straight-line basis over the vesting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Amended and Restated Investment Technology Group, Inc. 2007 Omnibus Equity Compensation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i) Total revenue, ii) Total operating expenses, and iii) Income before income taxes and noncontrolling interest by segment for the years ended December 31, 2023, 2022, and 2021:</w:t>
      </w:r>
    </w:p>
    <w:p>
      <w:pPr>
        <w:pStyle w:val="TextBody"/>
        <w:bidi w:val="0"/>
        <w:spacing w:before="0" w:after="0"/>
        <w:ind w:left="0" w:right="0" w:firstLine="360"/>
        <w:jc w:val="left"/>
        <w:rPr/>
      </w:pPr>
      <w:r>
        <w:rPr/>
      </w:r>
    </w:p>
    <w:tbl>
      <w:tblPr>
        <w:tblW w:w="8995" w:type="dxa"/>
        <w:jc w:val="center"/>
        <w:tblInd w:w="0" w:type="dxa"/>
        <w:tblLayout w:type="fixed"/>
        <w:tblCellMar>
          <w:top w:w="28" w:type="dxa"/>
          <w:left w:w="28" w:type="dxa"/>
          <w:bottom w:w="28" w:type="dxa"/>
          <w:right w:w="28" w:type="dxa"/>
        </w:tblCellMar>
      </w:tblPr>
      <w:tblGrid>
        <w:gridCol w:w="1451"/>
        <w:gridCol w:w="1275"/>
        <w:gridCol w:w="1279"/>
        <w:gridCol w:w="109"/>
        <w:gridCol w:w="109"/>
        <w:gridCol w:w="109"/>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Making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2,203,046 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925,968 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2,811,485 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1,808,014 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996,904 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our results of operations for the years ended December 31, 2023, 2022, and 2021: </w:t>
      </w:r>
    </w:p>
    <w:p>
      <w:pPr>
        <w:pStyle w:val="TextBody"/>
        <w:bidi w:val="0"/>
        <w:spacing w:before="0" w:after="0"/>
        <w:ind w:left="0" w:right="0" w:firstLine="72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80"/>
        <w:gridCol w:w="1516"/>
        <w:gridCol w:w="1522"/>
        <w:gridCol w:w="109"/>
        <w:gridCol w:w="109"/>
        <w:gridCol w:w="109"/>
        <w:gridCol w:w="109"/>
        <w:gridCol w:w="109"/>
        <w:gridCol w:w="109"/>
        <w:gridCol w:w="109"/>
        <w:gridCol w:w="196"/>
        <w:gridCol w:w="871"/>
        <w:gridCol w:w="241"/>
        <w:gridCol w:w="109"/>
        <w:gridCol w:w="109"/>
        <w:gridCol w:w="109"/>
        <w:gridCol w:w="196"/>
        <w:gridCol w:w="871"/>
        <w:gridCol w:w="241"/>
        <w:gridCol w:w="109"/>
        <w:gridCol w:w="109"/>
        <w:gridCol w:w="109"/>
        <w:gridCol w:w="196"/>
        <w:gridCol w:w="871"/>
        <w:gridCol w:w="287"/>
      </w:tblGrid>
      <w:tr>
        <w:trPr/>
        <w:tc>
          <w:tcPr>
            <w:tcW w:w="1780"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681" w:type="dxa"/>
            <w:gridSpan w:val="6"/>
            <w:tcBorders/>
          </w:tcPr>
          <w:p>
            <w:pPr>
              <w:pStyle w:val="TableContents"/>
              <w:bidi w:val="0"/>
              <w:spacing w:before="0" w:after="283"/>
              <w:jc w:val="left"/>
              <w:rPr>
                <w:sz w:val="4"/>
                <w:szCs w:val="4"/>
              </w:rPr>
            </w:pPr>
            <w:r>
              <w:rPr>
                <w:sz w:val="4"/>
                <w:szCs w:val="4"/>
              </w:rPr>
            </w:r>
          </w:p>
        </w:tc>
      </w:tr>
      <w:tr>
        <w:trPr/>
        <w:tc>
          <w:tcPr>
            <w:tcW w:w="4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1,301,344 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1,628,898 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2,105,194 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462,566 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75,384 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455,598 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529,845 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614,489 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2,293,373 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2,364,812 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2,811,485 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508,358 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619,168 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745,434 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Communication and data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211,988 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payroll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394,039 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390,947 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376,282 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500,467 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231,060 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139,704 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Operations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88,149 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67,816 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69,668 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prepayment and commitment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advisory fees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interest expense on long-term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79,969 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1,968,242 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1,808,014 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1,814,581 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325,131 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556,798 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996,904 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169,670 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263,921 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468,332 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827,234 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Selected Operating Margins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GAAP Net income Margin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(1)Calculated by dividing Net income by Total revenue.</w:t>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stockholders and basic and diluted earnings per share are presented below:</w:t>
      </w:r>
    </w:p>
    <w:tbl>
      <w:tblPr>
        <w:tblW w:w="8557" w:type="dxa"/>
        <w:jc w:val="center"/>
        <w:tblInd w:w="0" w:type="dxa"/>
        <w:tblLayout w:type="fixed"/>
        <w:tblCellMar>
          <w:top w:w="28" w:type="dxa"/>
          <w:left w:w="28" w:type="dxa"/>
          <w:bottom w:w="28" w:type="dxa"/>
          <w:right w:w="28" w:type="dxa"/>
        </w:tblCellMar>
      </w:tblPr>
      <w:tblGrid>
        <w:gridCol w:w="1342"/>
        <w:gridCol w:w="1181"/>
        <w:gridCol w:w="1182"/>
        <w:gridCol w:w="109"/>
        <w:gridCol w:w="109"/>
        <w:gridCol w:w="109"/>
        <w:gridCol w:w="109"/>
        <w:gridCol w:w="109"/>
        <w:gridCol w:w="109"/>
        <w:gridCol w:w="109"/>
        <w:gridCol w:w="202"/>
        <w:gridCol w:w="759"/>
        <w:gridCol w:w="109"/>
        <w:gridCol w:w="109"/>
        <w:gridCol w:w="109"/>
        <w:gridCol w:w="109"/>
        <w:gridCol w:w="221"/>
        <w:gridCol w:w="830"/>
        <w:gridCol w:w="109"/>
        <w:gridCol w:w="109"/>
        <w:gridCol w:w="109"/>
        <w:gridCol w:w="109"/>
        <w:gridCol w:w="221"/>
        <w:gridCol w:w="830"/>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532" w:type="dxa"/>
            <w:gridSpan w:val="6"/>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share or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476,878 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94,076,165 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103,997,767 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117,339,539 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94,076,165 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104,422,443 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118,423,928 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Trading income, net.</w:t>
      </w:r>
      <w:r>
        <w:rPr>
          <w:color w:val="000000"/>
        </w:rPr>
        <w:t xml:space="preserve"> </w:t>
      </w:r>
      <w:r>
        <w:rPr>
          <w:rFonts w:ascii="Times New Roman;sans-serif" w:hAnsi="Times New Roman;sans-serif"/>
          <w:b w:val="false"/>
          <w:color w:val="000000"/>
          <w:sz w:val="20"/>
        </w:rPr>
        <w:t>Trading income, net represents revenue earned from bid/ask spreads. Trading income is generated in the normal course of our market making activities and is typically proportional to the level of trading activity, or volumes, and bid/ask spreads in the asset classes we serve. Our trading income is highly diversified by asset class and geography and comprises small amounts earned on millions of trades on various exchanges. Our trading income, net, results from gains and losses associated with trading strategies, which are designed to capture small bid/ask spreads, while hedging risks. Trading income, net, accounted for 57% and 69% of our total revenues for the years ended December 31, 2023 and 2022, respectively.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Interest and dividends income.</w:t>
      </w:r>
      <w:r>
        <w:rPr>
          <w:color w:val="000000"/>
        </w:rPr>
        <w:t xml:space="preserve"> </w:t>
      </w:r>
      <w:r>
        <w:rPr>
          <w:rFonts w:ascii="Times New Roman;sans-serif" w:hAnsi="Times New Roman;sans-serif"/>
          <w:b w:val="false"/>
          <w:color w:val="000000"/>
          <w:sz w:val="20"/>
        </w:rPr>
        <w:t>Our market making activities require us to hold securities on a regular basis, and we generate revenues in the form of 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Commissions, net and technology services.</w:t>
      </w:r>
      <w:r>
        <w:rPr>
          <w:color w:val="000000"/>
        </w:rPr>
        <w:t xml:space="preserve"> </w:t>
      </w:r>
      <w:r>
        <w:rPr>
          <w:rFonts w:ascii="Times New Roman;sans-serif" w:hAnsi="Times New Roman;sans-serif"/>
          <w:b w:val="false"/>
          <w:color w:val="000000"/>
          <w:sz w:val="20"/>
        </w:rPr>
        <w:t xml:space="preserve">We earn revenues on transactions for which we charge explicit commissions or commission equivalents, 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Revenues are derived from fees generated by matching sell-side and buy-side clients orders, and from analytic products delivered to the clients.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Other, net.</w:t>
      </w:r>
      <w:r>
        <w:rPr>
          <w:color w:val="000000"/>
        </w:rPr>
        <w:t xml:space="preserve"> </w:t>
      </w:r>
      <w:r>
        <w:rPr>
          <w:rFonts w:ascii="Times New Roman;sans-serif" w:hAnsi="Times New Roman;sans-serif"/>
          <w:b w:val="false"/>
          <w:color w:val="000000"/>
          <w:sz w:val="20"/>
        </w:rPr>
        <w:t>We have interests in multiple strategic investments and telecommunications joint ventures (“JVs”). We record our pro-rata share of each JV’s earnings or losses within Other, net, while fees related to the use of communication services provided by the JVs are recorded within Communications and data processing.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net can also include gains on sales of strategic investments and businesses, as well as revenues from service agreements related to the sale of businesses.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Brokerage, exchange, clearance fees and payments for order flow, net.</w:t>
      </w:r>
      <w:r>
        <w:rPr>
          <w:color w:val="000000"/>
        </w:rPr>
        <w:t xml:space="preserve"> </w:t>
      </w:r>
      <w:r>
        <w:rPr>
          <w:rFonts w:ascii="Times New Roman;sans-serif" w:hAnsi="Times New Roman;sans-serif"/>
          <w:b w:val="false"/>
          <w:color w:val="000000"/>
          <w:sz w:val="20"/>
        </w:rPr>
        <w:t xml:space="preserve">Brokerage, exchange, clearance fees and payments for order flow are our most 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Communication and data processing.</w:t>
      </w:r>
      <w:r>
        <w:rPr>
          <w:color w:val="000000"/>
        </w:rPr>
        <w:t xml:space="preserve"> </w:t>
      </w:r>
      <w:r>
        <w:rPr>
          <w:rFonts w:ascii="Times New Roman;sans-serif" w:hAnsi="Times New Roman;sans-serif"/>
          <w:b w:val="false"/>
          <w:color w:val="000000"/>
          <w:sz w:val="20"/>
        </w:rPr>
        <w:t>Communication and data processing represent primarily fixed expenses for data center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Employee compensation and payroll taxes.</w:t>
      </w:r>
      <w:r>
        <w:rPr>
          <w:color w:val="000000"/>
        </w:rPr>
        <w:t xml:space="preserve"> </w:t>
      </w:r>
      <w:r>
        <w:rPr>
          <w:rFonts w:ascii="Times New Roman;sans-serif" w:hAnsi="Times New Roman;sans-serif"/>
          <w:b w:val="false"/>
          <w:color w:val="000000"/>
          <w:sz w:val="20"/>
        </w:rPr>
        <w:t xml:space="preserve">Employee compensation and payroll taxes include employee salaries, cash and non-cash incentive compensation, employee benefits, payroll taxes, severance and other employee related costs. Employee compensation and payroll taxes also includes non-cash compensation expenses with respect to restricted stock units and restricted stock awards pursuant to the Amended and Restated 2015 Management Incentive Plan and Class A Common Stock underlying certain awards assumed pursuant to the Amended and Restated ITG 2007 Equity Plan.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Interest and dividends expense.</w:t>
      </w:r>
      <w:r>
        <w:rPr>
          <w:color w:val="000000"/>
        </w:rPr>
        <w:t xml:space="preserve"> </w:t>
      </w:r>
      <w:r>
        <w:rPr>
          <w:rFonts w:ascii="Times New Roman;sans-serif" w:hAnsi="Times New Roman;sans-serif"/>
          <w:b w:val="false"/>
          <w:color w:val="000000"/>
          <w:sz w:val="20"/>
        </w:rPr>
        <w:t>We incur interest expense from loaning certain equity securities in the general course of our market making activities pursuant to collateralized lending transactions. Typically, dividends expense is incurred when a dividend is paid on securities sold short.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Operations and administrative.</w:t>
      </w:r>
      <w:r>
        <w:rPr>
          <w:color w:val="000000"/>
        </w:rPr>
        <w:t xml:space="preserve"> </w:t>
      </w:r>
      <w:r>
        <w:rPr>
          <w:rFonts w:ascii="Times New Roman;sans-serif" w:hAnsi="Times New Roman;sans-serif"/>
          <w:b w:val="false"/>
          <w:color w:val="000000"/>
          <w:sz w:val="20"/>
        </w:rPr>
        <w:t>Operations and administrative expense represents occupancy, recruiting, travel and related expense, professional fees and other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Depreciation and amortization.</w:t>
      </w:r>
      <w:r>
        <w:rPr>
          <w:color w:val="000000"/>
        </w:rPr>
        <w:t xml:space="preserve"> </w:t>
      </w:r>
      <w:r>
        <w:rPr>
          <w:rFonts w:ascii="Times New Roman;sans-serif" w:hAnsi="Times New Roman;sans-serif"/>
          <w:b w:val="false"/>
          <w:color w:val="000000"/>
          <w:sz w:val="20"/>
        </w:rPr>
        <w:t>Depreciation and amortization expense results from the depreciation of fixed assets and leased equipment, such as computing and 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Amortization of purchased intangibles and acquired capitalized software.</w:t>
      </w:r>
      <w:r>
        <w:rPr>
          <w:color w:val="000000"/>
        </w:rPr>
        <w:t xml:space="preserve"> </w:t>
      </w:r>
      <w:r>
        <w:rPr>
          <w:rFonts w:ascii="Times New Roman;sans-serif" w:hAnsi="Times New Roman;sans-serif"/>
          <w:b w:val="false"/>
          <w:color w:val="000000"/>
          <w:sz w:val="20"/>
        </w:rPr>
        <w:t>Amortization of purchased intangibles and acquired capitalized software represents the amortization of finite lived intangible assets acquired in connection with the Acquisition of KCG and the ITG Acquisition. These assets are amortized over their useful lives, ranging from 1 to 15 years, except for certain assets which were categorized as having indefinite useful lives.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Termination of office leases. </w:t>
      </w:r>
      <w:r>
        <w:rPr>
          <w:rFonts w:ascii="Times New Roman;sans-serif" w:hAnsi="Times New Roman;sans-serif"/>
          <w:b w:val="false"/>
          <w:color w:val="000000"/>
          <w:sz w:val="20"/>
        </w:rPr>
        <w:t>Termination of office leases represents the write-off expense related to certain office space we ceased use of as part of the effort to integrate and consolidate office space. The aggregate write-off amount includes the impairment of operating lease right-of-use assets, leasehold improvements and fixed assets, and dilapidation charges.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Debt issue cost related to debt refinancing, prepayment and commitment fees.</w:t>
      </w:r>
      <w:r>
        <w:rPr>
          <w:color w:val="000000"/>
        </w:rPr>
        <w:t xml:space="preserve"> </w:t>
      </w:r>
      <w:r>
        <w:rPr>
          <w:rFonts w:ascii="Times New Roman;sans-serif" w:hAnsi="Times New Roman;sans-serif"/>
          <w:b w:val="false"/>
          <w:color w:val="000000"/>
          <w:sz w:val="20"/>
        </w:rPr>
        <w:t>As a result of the refinancing or early termination of our long-term borrowings, we accelerate the capitalized debt issue cost and the discount on the term loan that would otherwise be amortized or accreted over the life of the term loan. Premium paid in connection with retiring outstanding bonds, and commitment fees paid for lines of credit are also included in this category.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Transaction advisory fees and expenses.</w:t>
      </w:r>
      <w:r>
        <w:rPr>
          <w:color w:val="000000"/>
        </w:rPr>
        <w:t xml:space="preserve"> </w:t>
      </w:r>
      <w:r>
        <w:rPr>
          <w:rFonts w:ascii="Times New Roman;sans-serif" w:hAnsi="Times New Roman;sans-serif"/>
          <w:b w:val="false"/>
          <w:color w:val="000000"/>
          <w:sz w:val="20"/>
        </w:rPr>
        <w:t>Transaction advisory fees and expenses primarily reflect professional fees incurred by us in connection with one or more acquisitions or dispositions.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Financing interest expense on long-term borrowings.</w:t>
      </w:r>
      <w:r>
        <w:rPr>
          <w:color w:val="000000"/>
        </w:rPr>
        <w:t xml:space="preserve"> </w:t>
      </w:r>
      <w:r>
        <w:rPr>
          <w:rFonts w:ascii="Times New Roman;sans-serif" w:hAnsi="Times New Roman;sans-serif"/>
          <w:b w:val="false"/>
          <w:color w:val="000000"/>
          <w:sz w:val="20"/>
        </w:rPr>
        <w:t>Financing interest expense reflects interest accrued on outstanding indebtedness under our long-term borrowing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U.S. federal, state and local income tax at the rate applicable to corporations less the rate attributable to the noncontrolling interest in Virtu Financial. Our non-U.S. operations are also subject to foreign income tax at the applicable corporate rates.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 Our effective tax rate may also be impacted by changes in the portion of income that is attributable to the noncontrolling interest.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13 “Income Taxes” of Part II Item 8 “Financial Statements and Supplementary Data” of this Annual Report on Form 10-K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 and Other Items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supplement our Consolidated Financial Statements presented in accordance with generally accepted accounting principles in the United States (“U.S. GAAP”), we use the following non-U.S. GAAP (“Non-GAAP”) financial measures of financial performance:</w:t>
      </w:r>
    </w:p>
    <w:p>
      <w:pPr>
        <w:pStyle w:val="TextBody"/>
        <w:bidi w:val="0"/>
        <w:spacing w:before="0" w:after="0"/>
        <w:jc w:val="left"/>
        <w:rPr/>
      </w:pPr>
      <w:r>
        <w:rPr/>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including daily averages.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the sales of businesses, and other income.</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Operating Margins, which are calculated by dividing net income, EBITDA, and Adjusted EBITDA by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pStyle w:val="TextBody"/>
        <w:bidi w:val="0"/>
        <w:spacing w:before="0" w:after="0"/>
        <w:jc w:val="left"/>
        <w:rPr/>
      </w:pPr>
      <w:r>
        <w:rPr/>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they do not reflect every cash expenditure, future requirements for capital expenditures or contractual commitments;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our EBITDA-based measures do not reflect the significant interest expense or the cash requirements necessary to service interest or principal payment on our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they are not adjusted for all non-cash income or expense items that are reflected in our consolidated statements of cash flows;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they do not reflect the impact of earnings or charges resulting from matters we consider not to be indicative of our ongoing operations; and</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they do not reflect limitations on our costs related to transferring earnings from our subsidiaries to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Consolidated Statements of Comprehensive Income to arrive at Adjusted Net Trading Income, EBITDA, Adjusted EBITDA, and Operating Margins for the years ended December 31, 2023, 2022, and 2021.</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38"/>
        <w:gridCol w:w="1533"/>
        <w:gridCol w:w="1546"/>
        <w:gridCol w:w="109"/>
        <w:gridCol w:w="109"/>
        <w:gridCol w:w="109"/>
        <w:gridCol w:w="109"/>
        <w:gridCol w:w="109"/>
        <w:gridCol w:w="109"/>
        <w:gridCol w:w="109"/>
        <w:gridCol w:w="196"/>
        <w:gridCol w:w="871"/>
        <w:gridCol w:w="241"/>
        <w:gridCol w:w="109"/>
        <w:gridCol w:w="109"/>
        <w:gridCol w:w="109"/>
        <w:gridCol w:w="196"/>
        <w:gridCol w:w="871"/>
        <w:gridCol w:w="241"/>
        <w:gridCol w:w="109"/>
        <w:gridCol w:w="109"/>
        <w:gridCol w:w="109"/>
        <w:gridCol w:w="196"/>
        <w:gridCol w:w="871"/>
        <w:gridCol w:w="288"/>
      </w:tblGrid>
      <w:tr>
        <w:trPr/>
        <w:tc>
          <w:tcPr>
            <w:tcW w:w="173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682" w:type="dxa"/>
            <w:gridSpan w:val="6"/>
            <w:tcBorders/>
          </w:tcPr>
          <w:p>
            <w:pPr>
              <w:pStyle w:val="TableContents"/>
              <w:bidi w:val="0"/>
              <w:spacing w:before="0" w:after="283"/>
              <w:jc w:val="left"/>
              <w:rPr>
                <w:sz w:val="4"/>
                <w:szCs w:val="4"/>
              </w:rPr>
            </w:pPr>
            <w:r>
              <w:rPr>
                <w:sz w:val="4"/>
                <w:szCs w:val="4"/>
              </w:rPr>
            </w:r>
          </w:p>
        </w:tc>
      </w:tr>
      <w:tr>
        <w:trPr/>
        <w:tc>
          <w:tcPr>
            <w:tcW w:w="4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Trading income, net to Adjusted Net Trading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1,301,344 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1,628,898 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2,105,194 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462,566 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75,384 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455,598 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529,845 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614,489 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(508,358)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(619,168)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(745,434)</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(500,467)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(231,060)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(139,704)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Trading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1,210,683 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1,467,635 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1,909,929 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Net Income to EBITDA and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827,234 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interest expense on long-term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79,969 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prepayment, and commitment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67,816 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69,668 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169,670 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560,008 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809,957 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1,220,947 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Severance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advisory fees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55,751 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567,967 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859,123 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1,301,233 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Selected Operating Margins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GAAP Net income Margin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Net income Margin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EBITDA Margin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Margin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(1)Calculated by dividing Net Income by Total Revenue.</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(2)Calculated by dividing Net Income by Adjusted Net Trading Income.</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(3)Calculated by dividing EBITDA by Adjusted Net Trading Income.</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(4)Calculated by dividing Adjusted EBITDA by Adjusted Net Trading Income.</w:t>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200"/>
        <w:ind w:left="0" w:right="0" w:firstLine="720"/>
        <w:jc w:val="left"/>
        <w:rPr/>
      </w:pPr>
      <w:r>
        <w:rPr/>
      </w:r>
    </w:p>
    <w:p>
      <w:pPr>
        <w:pStyle w:val="TextBody"/>
        <w:bidi w:val="0"/>
        <w:spacing w:before="0" w:after="200"/>
        <w:ind w:left="0" w:right="0" w:firstLine="72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to arrive at Normalized Adjusted Net Income before income taxes, Normalized provision for income taxes, Normalized Adjusted Net Income and Normalized Adjusted EPS for the years ended December 31, 2023, 2022, and 2021:</w:t>
      </w:r>
    </w:p>
    <w:tbl>
      <w:tblPr>
        <w:tblW w:w="10205" w:type="dxa"/>
        <w:jc w:val="center"/>
        <w:tblInd w:w="0" w:type="dxa"/>
        <w:tblLayout w:type="fixed"/>
        <w:tblCellMar>
          <w:top w:w="28" w:type="dxa"/>
          <w:left w:w="28" w:type="dxa"/>
          <w:bottom w:w="28" w:type="dxa"/>
          <w:right w:w="28" w:type="dxa"/>
        </w:tblCellMar>
      </w:tblPr>
      <w:tblGrid>
        <w:gridCol w:w="1915"/>
        <w:gridCol w:w="1670"/>
        <w:gridCol w:w="1676"/>
        <w:gridCol w:w="109"/>
        <w:gridCol w:w="109"/>
        <w:gridCol w:w="109"/>
        <w:gridCol w:w="109"/>
        <w:gridCol w:w="109"/>
        <w:gridCol w:w="109"/>
        <w:gridCol w:w="109"/>
        <w:gridCol w:w="221"/>
        <w:gridCol w:w="830"/>
        <w:gridCol w:w="109"/>
        <w:gridCol w:w="109"/>
        <w:gridCol w:w="109"/>
        <w:gridCol w:w="109"/>
        <w:gridCol w:w="221"/>
        <w:gridCol w:w="830"/>
        <w:gridCol w:w="109"/>
        <w:gridCol w:w="109"/>
        <w:gridCol w:w="109"/>
        <w:gridCol w:w="109"/>
        <w:gridCol w:w="221"/>
        <w:gridCol w:w="830"/>
        <w:gridCol w:w="156"/>
      </w:tblGrid>
      <w:tr>
        <w:trPr/>
        <w:tc>
          <w:tcPr>
            <w:tcW w:w="191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534" w:type="dxa"/>
            <w:gridSpan w:val="6"/>
            <w:tcBorders/>
          </w:tcPr>
          <w:p>
            <w:pPr>
              <w:pStyle w:val="TableContents"/>
              <w:bidi w:val="0"/>
              <w:spacing w:before="0" w:after="283"/>
              <w:jc w:val="left"/>
              <w:rPr>
                <w:sz w:val="4"/>
                <w:szCs w:val="4"/>
              </w:rPr>
            </w:pPr>
            <w:r>
              <w:rPr>
                <w:sz w:val="4"/>
                <w:szCs w:val="4"/>
              </w:rPr>
            </w:r>
          </w:p>
        </w:tc>
      </w:tr>
      <w:tr>
        <w:trPr/>
        <w:tc>
          <w:tcPr>
            <w:tcW w:w="5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Net Income to Normalized 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827,234 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996,904 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prepayment, and commitment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Severance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advisory fees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Adjusted Net 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1,153,448 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provision for income taxes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276,827 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876,621 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Adjusted shares outstanding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167,782,513 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177,688,188 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191,958,870 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Adjusted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(1)Reflects U.S. federal, state, and local income tax rate applicable to corporations of approximately 24% for all periods presented.</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(2)Assumes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the dilutive impact of options, restricted stock units and restricted stock awards outstanding under the Amended and Restated 2015 Management Incentive Plan and the Amended and Restated ITG 2007 Equity Plan during the years ended December 31, 2023, 2022, and 2021.</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Trading income, net to Adjusted Net Trading Income by segment for the years ended December 31, 2023, 2022, and 2021:</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50"/>
        <w:gridCol w:w="1323"/>
        <w:gridCol w:w="1328"/>
        <w:gridCol w:w="109"/>
        <w:gridCol w:w="109"/>
        <w:gridCol w:w="109"/>
        <w:gridCol w:w="204"/>
        <w:gridCol w:w="911"/>
        <w:gridCol w:w="113"/>
        <w:gridCol w:w="109"/>
        <w:gridCol w:w="109"/>
        <w:gridCol w:w="109"/>
        <w:gridCol w:w="258"/>
        <w:gridCol w:w="970"/>
        <w:gridCol w:w="143"/>
        <w:gridCol w:w="109"/>
        <w:gridCol w:w="109"/>
        <w:gridCol w:w="109"/>
        <w:gridCol w:w="240"/>
        <w:gridCol w:w="497"/>
        <w:gridCol w:w="134"/>
        <w:gridCol w:w="109"/>
        <w:gridCol w:w="109"/>
        <w:gridCol w:w="109"/>
        <w:gridCol w:w="196"/>
        <w:gridCol w:w="871"/>
        <w:gridCol w:w="159"/>
      </w:tblGrid>
      <w:tr>
        <w:trPr/>
        <w:tc>
          <w:tcPr>
            <w:tcW w:w="155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4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1,283,680 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1,301,344 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426,027 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455,598 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451,859 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462,566 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(420,608)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(87,750)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(508,358)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(497,895)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(500,467)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846,607 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364,076 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1,210,683 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50"/>
        <w:gridCol w:w="1323"/>
        <w:gridCol w:w="1328"/>
        <w:gridCol w:w="109"/>
        <w:gridCol w:w="109"/>
        <w:gridCol w:w="109"/>
        <w:gridCol w:w="204"/>
        <w:gridCol w:w="911"/>
        <w:gridCol w:w="113"/>
        <w:gridCol w:w="109"/>
        <w:gridCol w:w="109"/>
        <w:gridCol w:w="109"/>
        <w:gridCol w:w="258"/>
        <w:gridCol w:w="970"/>
        <w:gridCol w:w="143"/>
        <w:gridCol w:w="109"/>
        <w:gridCol w:w="109"/>
        <w:gridCol w:w="109"/>
        <w:gridCol w:w="240"/>
        <w:gridCol w:w="497"/>
        <w:gridCol w:w="134"/>
        <w:gridCol w:w="109"/>
        <w:gridCol w:w="109"/>
        <w:gridCol w:w="109"/>
        <w:gridCol w:w="196"/>
        <w:gridCol w:w="871"/>
        <w:gridCol w:w="159"/>
      </w:tblGrid>
      <w:tr>
        <w:trPr/>
        <w:tc>
          <w:tcPr>
            <w:tcW w:w="155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4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1,607,819 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1,628,898 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487,665 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529,845 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(524,762)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(94,406)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(619,168)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(225,427)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(231,060)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1,058,474 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409,161 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1,467,635 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54"/>
        <w:gridCol w:w="1329"/>
        <w:gridCol w:w="1318"/>
        <w:gridCol w:w="109"/>
        <w:gridCol w:w="109"/>
        <w:gridCol w:w="109"/>
        <w:gridCol w:w="204"/>
        <w:gridCol w:w="911"/>
        <w:gridCol w:w="113"/>
        <w:gridCol w:w="109"/>
        <w:gridCol w:w="109"/>
        <w:gridCol w:w="109"/>
        <w:gridCol w:w="258"/>
        <w:gridCol w:w="970"/>
        <w:gridCol w:w="143"/>
        <w:gridCol w:w="109"/>
        <w:gridCol w:w="109"/>
        <w:gridCol w:w="109"/>
        <w:gridCol w:w="240"/>
        <w:gridCol w:w="497"/>
        <w:gridCol w:w="134"/>
        <w:gridCol w:w="109"/>
        <w:gridCol w:w="109"/>
        <w:gridCol w:w="109"/>
        <w:gridCol w:w="196"/>
        <w:gridCol w:w="871"/>
        <w:gridCol w:w="159"/>
      </w:tblGrid>
      <w:tr>
        <w:trPr/>
        <w:tc>
          <w:tcPr>
            <w:tcW w:w="155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2,079,653 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25,541 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2,105,194 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573,534 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614,489 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(634,783)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(745,434)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(133,584)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1,427,552 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482,377 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1,909,929 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Adjusted Net Trading Income and average daily Adjusted Net Trading Income by segment for the years ended December 31, 2023, 2022, and 2021:</w:t>
      </w:r>
    </w:p>
    <w:tbl>
      <w:tblPr>
        <w:tblW w:w="23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23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2376" w:type="dxa"/>
        <w:jc w:val="center"/>
        <w:tblInd w:w="0" w:type="dxa"/>
        <w:tblLayout w:type="fixed"/>
        <w:tblCellMar>
          <w:top w:w="28" w:type="dxa"/>
          <w:left w:w="28" w:type="dxa"/>
          <w:bottom w:w="28" w:type="dxa"/>
          <w:right w:w="28" w:type="dxa"/>
        </w:tblCellMar>
      </w:tblPr>
      <w:tblGrid>
        <w:gridCol w:w="321"/>
        <w:gridCol w:w="282"/>
        <w:gridCol w:w="283"/>
        <w:gridCol w:w="109"/>
        <w:gridCol w:w="109"/>
        <w:gridCol w:w="109"/>
        <w:gridCol w:w="196"/>
        <w:gridCol w:w="871"/>
        <w:gridCol w:w="109"/>
        <w:gridCol w:w="109"/>
        <w:gridCol w:w="109"/>
        <w:gridCol w:w="109"/>
        <w:gridCol w:w="196"/>
        <w:gridCol w:w="556"/>
        <w:gridCol w:w="109"/>
        <w:gridCol w:w="109"/>
        <w:gridCol w:w="109"/>
        <w:gridCol w:w="109"/>
        <w:gridCol w:w="278"/>
        <w:gridCol w:w="278"/>
        <w:gridCol w:w="241"/>
        <w:gridCol w:w="109"/>
        <w:gridCol w:w="109"/>
        <w:gridCol w:w="109"/>
        <w:gridCol w:w="196"/>
        <w:gridCol w:w="871"/>
        <w:gridCol w:w="109"/>
        <w:gridCol w:w="109"/>
        <w:gridCol w:w="109"/>
        <w:gridCol w:w="109"/>
        <w:gridCol w:w="196"/>
        <w:gridCol w:w="556"/>
        <w:gridCol w:w="109"/>
        <w:gridCol w:w="109"/>
        <w:gridCol w:w="109"/>
        <w:gridCol w:w="109"/>
        <w:gridCol w:w="278"/>
        <w:gridCol w:w="278"/>
        <w:gridCol w:w="241"/>
        <w:gridCol w:w="109"/>
        <w:gridCol w:w="109"/>
        <w:gridCol w:w="109"/>
        <w:gridCol w:w="196"/>
        <w:gridCol w:w="871"/>
        <w:gridCol w:w="109"/>
        <w:gridCol w:w="109"/>
        <w:gridCol w:w="109"/>
        <w:gridCol w:w="109"/>
        <w:gridCol w:w="196"/>
        <w:gridCol w:w="556"/>
        <w:gridCol w:w="109"/>
        <w:gridCol w:w="109"/>
        <w:gridCol w:w="109"/>
        <w:gridCol w:w="109"/>
        <w:gridCol w:w="278"/>
        <w:gridCol w:w="278"/>
        <w:gridCol w:w="286"/>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Trading Income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Daily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Daily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Daily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Making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 Compared to Year Ended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total revenues decreased $71.4 million, or 3.0%, to $2,293.4 million for the year ended December 31, 2023, compared to $2,364.8 million for the year ended December 31, 2022. This decrease was primarily attributable to decreases of $327.6 million in Trading income, net and $74.2 million in Commissions, net and technology services, during the year ended December 31, 2023 compared to the prior period, partially offset by an increase of $303.5 million in Interest and dividends income, which is largely driven by the level of trading assets held over periods when dividends are paid, and the levels of stock borrowing and trading asset financing during the year ended December 31, 2023 compared to the same period in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total revenues by segment for the years ended December 31, 2023 and 2022.</w:t>
      </w:r>
    </w:p>
    <w:p>
      <w:pPr>
        <w:pStyle w:val="TextBody"/>
        <w:bidi w:val="0"/>
        <w:spacing w:before="0" w:after="0"/>
        <w:ind w:left="0" w:right="0" w:firstLine="720"/>
        <w:jc w:val="left"/>
        <w:rPr/>
      </w:pPr>
      <w:r>
        <w:rPr/>
      </w:r>
    </w:p>
    <w:tbl>
      <w:tblPr>
        <w:tblW w:w="7294" w:type="dxa"/>
        <w:jc w:val="center"/>
        <w:tblInd w:w="0" w:type="dxa"/>
        <w:tblLayout w:type="fixed"/>
        <w:tblCellMar>
          <w:top w:w="28" w:type="dxa"/>
          <w:left w:w="28" w:type="dxa"/>
          <w:bottom w:w="28" w:type="dxa"/>
          <w:right w:w="28" w:type="dxa"/>
        </w:tblCellMar>
      </w:tblPr>
      <w:tblGrid>
        <w:gridCol w:w="1104"/>
        <w:gridCol w:w="967"/>
        <w:gridCol w:w="974"/>
        <w:gridCol w:w="109"/>
        <w:gridCol w:w="109"/>
        <w:gridCol w:w="109"/>
        <w:gridCol w:w="196"/>
        <w:gridCol w:w="871"/>
        <w:gridCol w:w="109"/>
        <w:gridCol w:w="109"/>
        <w:gridCol w:w="109"/>
        <w:gridCol w:w="109"/>
        <w:gridCol w:w="196"/>
        <w:gridCol w:w="871"/>
        <w:gridCol w:w="109"/>
        <w:gridCol w:w="109"/>
        <w:gridCol w:w="109"/>
        <w:gridCol w:w="109"/>
        <w:gridCol w:w="268"/>
        <w:gridCol w:w="268"/>
        <w:gridCol w:w="380"/>
      </w:tblGrid>
      <w:tr>
        <w:trPr/>
        <w:tc>
          <w:tcPr>
            <w:tcW w:w="11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1,607,819 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184.8%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(29.9)%</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from Market Making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(12.6)%</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from Execution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from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190.7%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(14.0)%</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57.3%</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r>
    </w:tbl>
    <w:p>
      <w:pPr>
        <w:pStyle w:val="TextBody"/>
        <w:bidi w:val="0"/>
        <w:spacing w:before="0" w:after="20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Trading income, net. </w:t>
      </w:r>
      <w:r>
        <w:rPr>
          <w:rFonts w:ascii="Times New Roman;sans-serif" w:hAnsi="Times New Roman;sans-serif"/>
          <w:b w:val="false"/>
          <w:color w:val="000000"/>
          <w:sz w:val="20"/>
        </w:rPr>
        <w:t>Trading income, net was primarily earned by our Market Making segment. Trading income, net, decreased $327.6 million, or 20.1%, to $1,301.3 million for the year ended December 31, 2023, compared to $1,628.9 million for the year ended December 31, 2022. The decrease was largely a result of the decreased opportunity in our customer market making trading as a result of lower spread opportunity and decreased quality of the order flow with which we interact.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are described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Interest and dividends income. </w:t>
      </w:r>
      <w:r>
        <w:rPr>
          <w:rFonts w:ascii="Times New Roman;sans-serif" w:hAnsi="Times New Roman;sans-serif"/>
          <w:b w:val="false"/>
          <w:color w:val="000000"/>
          <w:sz w:val="20"/>
        </w:rPr>
        <w:t>Interest and dividends income was primarily earned by our Market Making segment. Interest and dividends income increased $303.5 million, or 190.8%, to $462.6 million for the year ended December 31, 2023, compared to $159.1 million for the year ended December 31, 2022. This increase was primarily attributable to an increase in interest income earned on cash collateral posted as part of securities borrowed transactions, and higher dividends earned on market making trading assets held over periods when dividends are paid, both of which benefited from higher interest rates for the period compared to the prior period. As indicated above, rather than analyzing interest and dividends income in isolation, we evaluate it in the broader context of our Adjusted Net Trading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Commissions, net and technology services.</w:t>
      </w:r>
      <w:r>
        <w:rPr>
          <w:color w:val="000000"/>
        </w:rPr>
        <w:t xml:space="preserve"> </w:t>
      </w:r>
      <w:r>
        <w:rPr>
          <w:rFonts w:ascii="Times New Roman;sans-serif" w:hAnsi="Times New Roman;sans-serif"/>
          <w:b w:val="false"/>
          <w:color w:val="000000"/>
          <w:sz w:val="20"/>
        </w:rPr>
        <w:t>Commissions, net and technology services revenues were primarily earned by our Execution Services segment. Commissions, net and technology services revenues decreased $74.2 million, or 14.0%, to $455.6 million for the year ended December 31, 2023, compared to $529.8 million for the year ended December 31, 2022. This decrease was driven by the reduction of institutional investors commissions available, and declining institutional engagement, both of which resulted in lower commission income.</w:t>
      </w:r>
      <w:r>
        <w:rPr>
          <w:color w:val="000000"/>
        </w:rPr>
        <w:t xml:space="preserve"> </w:t>
      </w:r>
      <w:r>
        <w:rPr>
          <w:rFonts w:ascii="Times New Roman;sans-serif" w:hAnsi="Times New Roman;sans-serif"/>
          <w:b w:val="false"/>
          <w:color w:val="000000"/>
          <w:sz w:val="20"/>
        </w:rPr>
        <w:t>As indicated above, rather than analyzing commission income in isolation, we evaluate it in the broader context of our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Other, net.</w:t>
      </w:r>
      <w:r>
        <w:rPr>
          <w:color w:val="000000"/>
        </w:rPr>
        <w:t xml:space="preserve"> </w:t>
      </w:r>
      <w:r>
        <w:rPr>
          <w:rFonts w:ascii="Times New Roman;sans-serif" w:hAnsi="Times New Roman;sans-serif"/>
          <w:b w:val="false"/>
          <w:color w:val="000000"/>
          <w:sz w:val="20"/>
        </w:rPr>
        <w:t>Other, net increased $27.0 million, or 57.6%, to $73.9 million for the year ended December 31, 2023, compared to $46.9 million for the year ended December 31, 2022. The income for the year ended December 31, 2023 primarily related to gains on settlement fund recoveries in which we are eligible to participate based on our transactions in the applicable products. The income in 2022 was primarily due to gains recognized from sales of investments in our strategic investments portfolio.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Trading Income, which is a non-GAAP measure, decreased $257.0 million, or 17.5%, to $1,210.7 million for the year ended December 31, 2023, compared to $1,467.6 million for the year ended December 31, 2022. This decrease was primarily attributable to lower Trading income, net and Commissions, net and technology services, as noted above, and higher Interest and dividends expense, as noted below, partially offset by an increase in Interest and dividends income, as described above, and lower Brokerage, exchange, clearance fees and payments for order flow, net as described below. Average daily Adjusted Net Trading Income decreased $1.0 million, or 17.2%, to $4.8 million for the year ended December 31, 2023, compared to $5.8 million for the year ended December 31, 2022. The number of trading days was 250 days for the year ended December 31, 2023, compared to 251 days for the year ended December 31, 2022. For a full description of Adjusted Net Trading Income and a reconciliation of Adjusted Net Trading Income to trading income, net, see “Non-GAAP Financial Measures and Other Items” in this “Item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increased $160.2 million, or 8.9%, to $1,968.2 million for the year ended December 31, 2023, compared to $1,808.0 million for the year ended December 31, 2022. The increase was primarily driven by increase in Interest and dividends expense, offset in part, by lower Brokerage, exchange, clearance fees and payments for order flow, net, and lower Debt issue cost related to debt refinancing, prepayment and commitment fees.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Brokerage, exchange, clearance fees and payments for order flow, net. </w:t>
      </w:r>
      <w:r>
        <w:rPr>
          <w:rFonts w:ascii="Times New Roman;sans-serif" w:hAnsi="Times New Roman;sans-serif"/>
          <w:b w:val="false"/>
          <w:color w:val="000000"/>
          <w:sz w:val="20"/>
        </w:rPr>
        <w:t>Brokerage, exchange, clearance fees and payments for order flow, net, decreased $110.8 million, or 17.9%, to $508.4 million for the year ended December 31, 2023, compared to $619.2 million for the year ended December 31, 2022. These costs vary period to period based upon the level and composition of our trading activities. We evaluate this category, representing direct costs associated with transacting our business, in the broader context of our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Communication and data processing. </w:t>
      </w:r>
      <w:r>
        <w:rPr>
          <w:rFonts w:ascii="Times New Roman;sans-serif" w:hAnsi="Times New Roman;sans-serif"/>
          <w:b w:val="false"/>
          <w:color w:val="000000"/>
          <w:sz w:val="20"/>
        </w:rPr>
        <w:t>Communication and data processing expense increased $11.3 million, or 5.1%, to $230.8 million for the year ended December 31, 2023, compared to $219.5 million for the year ended December 31, 2022. This increase was primarily attributable to increased connectivity spending on colocation, market data, access ports and gateways, and microwave communication networks maintained by our joint ventures.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Employee compensation and payroll taxes. </w:t>
      </w:r>
      <w:r>
        <w:rPr>
          <w:rFonts w:ascii="Times New Roman;sans-serif" w:hAnsi="Times New Roman;sans-serif"/>
          <w:b w:val="false"/>
          <w:color w:val="000000"/>
          <w:sz w:val="20"/>
        </w:rPr>
        <w:t>Employee compensation and payroll taxes increased $3.1 million, or 0.8%, to $394.0 million for the year ended December 31, 2023, compared to $390.9 million for the year ended December 31, 2022. The increase in compensation levels was primarily attributable to an increase in salaries and wages, as well as the anticipated mix of cash and stock-based awards.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capitalized and therefore excluded employee compensation and benefits related to software development of $40.4 million and $35.5 million for the years ended December 31, 2023 and 2022, respectively.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Interest and dividends expense. </w:t>
      </w:r>
      <w:r>
        <w:rPr>
          <w:rFonts w:ascii="Times New Roman;sans-serif" w:hAnsi="Times New Roman;sans-serif"/>
          <w:b w:val="false"/>
          <w:color w:val="000000"/>
          <w:sz w:val="20"/>
        </w:rPr>
        <w:t>Interest and dividends expense increased $269.4 million, or 116.6%, to $500.5 million for the year ended December 31, 2023, compared to $231.1 million for the year ended December 31, 2022. This increase was primarily attributable to higher interest expense incurred on cash collateral received driven by higher interest rates, as well as an increase in securities lending transactions and higher dividends expense with respect to securities sold, not yet purchased for the period compared to the same period during the prior year. As indicated above, rather than analyzing interest and dividends expense in isolation, we generally evaluate it in the broader context of our Adjusted Net Trading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Operations and administrative. </w:t>
      </w:r>
      <w:r>
        <w:rPr>
          <w:rFonts w:ascii="Times New Roman;sans-serif" w:hAnsi="Times New Roman;sans-serif"/>
          <w:b w:val="false"/>
          <w:color w:val="000000"/>
          <w:sz w:val="20"/>
        </w:rPr>
        <w:t>Operations and administrative expense increased $12.9 million, or 15.0%, to $99.0 million for the year ended December 31, 2023, compared to $86.1 million for the year ended December 31, 2022. The increase was primarily driven by the beneficial effect of a strong U.S. dollar on foreign exchange translation gains during the prior year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Depreciation and amortization. </w:t>
      </w:r>
      <w:r>
        <w:rPr>
          <w:rFonts w:ascii="Times New Roman;sans-serif" w:hAnsi="Times New Roman;sans-serif"/>
          <w:b w:val="false"/>
          <w:color w:val="000000"/>
          <w:sz w:val="20"/>
        </w:rPr>
        <w:t xml:space="preserve">Depreciation and amortization decreased $3.1 million, or 4.7%, to $63.3 million for the year ended December 31, 2023, compared to $66.4 million for the year ended December 31, 2022. This decrease was driven primarily by decreased depreciation of computer equipment, and amortization of capitalized software compared to the prior period.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Amortization of purchased intangibles and acquired capitalized software. </w:t>
      </w:r>
      <w:r>
        <w:rPr>
          <w:rFonts w:ascii="Times New Roman;sans-serif" w:hAnsi="Times New Roman;sans-serif"/>
          <w:b w:val="false"/>
          <w:color w:val="000000"/>
          <w:sz w:val="20"/>
        </w:rPr>
        <w:t>Amortization of purchased intangibles and acquired capitalized software decreased $0.8 million, or 1.2%, to $64.0 million for the year ended December 31, 2023, compared to $64.8 million for the year ended December 31, 2022. This decrease was primarily attributable to certain intangible assets being fully amortized in 2022.</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Termination of office leases. </w:t>
      </w:r>
      <w:r>
        <w:rPr>
          <w:rFonts w:ascii="Times New Roman;sans-serif" w:hAnsi="Times New Roman;sans-serif"/>
          <w:b w:val="false"/>
          <w:color w:val="000000"/>
          <w:sz w:val="20"/>
        </w:rPr>
        <w:t>Termination of office leases was $0.5 million for the year ended December 31, 2023, compared to $7.0 million for the year ended December 31, 2022. These expenses in the prior period are related to the impairment of lease right-of-use assets, leasehold improvements and fixed assets for certain abandoned or vacated office space.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Debt issue cost related to debt refinancing, prepayment and commitment fees.</w:t>
      </w:r>
      <w:r>
        <w:rPr>
          <w:color w:val="000000"/>
        </w:rPr>
        <w:t xml:space="preserve"> </w:t>
      </w:r>
      <w:r>
        <w:rPr>
          <w:rFonts w:ascii="Times New Roman;sans-serif" w:hAnsi="Times New Roman;sans-serif"/>
          <w:b w:val="false"/>
          <w:color w:val="000000"/>
          <w:sz w:val="20"/>
        </w:rPr>
        <w:t>Expense from debt issue cost related to debt refinancing, prepayment and commitment fees decreased $21.6 million, or 72.2%, to $8.3 million for the year ended December 31, 2023, compared to $29.9 million for the year ended December 31, 2022. The year-over-year change was primarily driven by the acceleration of deferred debt issuance costs as a result of refinancing our long-term debt transaction in January 2022. See Note 8 “Borrowings” of Part II Item 8 “Financial Statements and Supplementary Data” of this Annual Report on Form 10-K for additional details.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Transaction advisory fees and expenses.</w:t>
      </w:r>
      <w:r>
        <w:rPr>
          <w:color w:val="000000"/>
        </w:rPr>
        <w:t xml:space="preserve"> </w:t>
      </w:r>
      <w:r>
        <w:rPr>
          <w:rFonts w:ascii="Times New Roman;sans-serif" w:hAnsi="Times New Roman;sans-serif"/>
          <w:b w:val="false"/>
          <w:color w:val="000000"/>
          <w:sz w:val="20"/>
        </w:rPr>
        <w:t>Transaction advisory fees and expenses were $0.3 million for the year ended December 31, 2023, compared to $1.1 million for the year ended December 31, 2022. These expenses were primarily incurred in relation to our strategic investment portfolio.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Financing interest expense on long term borrowings. </w:t>
      </w:r>
      <w:r>
        <w:rPr>
          <w:rFonts w:ascii="Times New Roman;sans-serif" w:hAnsi="Times New Roman;sans-serif"/>
          <w:b w:val="false"/>
          <w:color w:val="000000"/>
          <w:sz w:val="20"/>
        </w:rPr>
        <w:t xml:space="preserve">Financing interest expense on long-term borrowings increased $7.3 million, or 7.9%, to $99.3 million for the year ended December 31, 2023, compared to $92.0 million for the year ended December 31, 2022. This increase was attributable to the increase in outstanding principal as a result of refinancing our long-term debt in January 2022, as described in further detail below, and the effect of higher interest rates on the unhedged portion of our long-term debt.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 was $61.2 million and 18.8% for the year ended December 31, 2023, compared to a provision for income taxes and effective tax rate of $88.5 million and 15.9% for the year ended December 31,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$820.4 million in Cash and cash equivalents. This balance is maintained primarily to support operating activities, for capital expenditures and for short-term access to liquidity, and for other general corporate purposes. As of December 31, 2023, we had borrowings under our prime brokerage credit facilities of approximately $175.3 million, no borrowings under our broker dealer facilities, and long-term debt outstanding in an aggregate principal amount of approximately $1,751.8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U.S. broker-dealer subsidiary, as discussed in Note 8 “Borrowings” of Part II Item 8 “Financial Statements and Supplementary Data”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Short-term Liquidity and Capital Resources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due to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Long-term Liquidity and Capital Resources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will be sufficient to fund capital demands.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Tax Receivable Agreements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IPO and certain reorganization transactions undertaken in connection therewith,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4 “Tax Receivable Agreements” of Part II Item 8 “Financial Statements and Supplementary Data” of this Annual Report on Form 10-K are expected to range from approximately $0.1 million to $22.1 million per year over the next 15 years. Such payments will occur only after we have filed our U.S. federal and state income tax returns and realized the cash tax savings from the favorable tax attributes. We made our first payment of $7.0 million in February 2017, and subsequent payments of $12.4 million in September 2018, $13.3 million in March 2020, $16.5 million in April 2021, $21.3 million in March 2022, and $23.3 million in April 2023. Future payments under the tax receivable agreements in respect of subsequent exchanges would be in addition to these amounts. We currently expect to fund these payments from realized cash tax savings from the favorable tax attributes.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Regulatory Capital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U.S. subsidiary, Virtu Americas LLC (“VAL”) is subject to separate regulation and capital requirements in the U.S. and other jurisdictions. VAL is a registered U.S. broker-dealer, and its primary regulators include the SEC and the Financial Industry Regulatory Authority (“FINRA”). In June 2023 our U.S. subsidiary RFQ-Hub Americas LLC (“RAL”) became a registered U.S. broker-dealer and as such is subject to regulation and capital requirements from its primary regulators, the SEC and FINRA.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Company’s liquidation. Additionally, certain applicable 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Canadian subsidiaries, Virtu Canada Corp (f/k/a Virtu ITG Canada Corp.) and Virtu Financial Canada ULC, are subject to regulatory capital requirements and periodic requirements to report their regulatory capital and submit other regulatory reports set forth by the Canadian Investment Regulatory Organization. Our Irish subsidiaries, Virtu Financial Ireland Limited (“VFIL”) and Virtu Europe Trading Limited (“VETL”) (f/k/a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VETL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and Virtu ITG Hong Kong Limited are also subject to local regulatory capital requirements and are regulated by the Australian Securities and Investments Commission, the Securities and Futures Commission of Hong Kong, respectively. Virtu ITG Singapore Pte. Limited and Virtu Financial Singapore Pte. Ltd. have similar regulatory requirements and are regulated by the Monetary Authority of Singapore.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20 “Regulatory Requirement” of Part II Item 8 “Financial Statements and Supplementary Data” of this Annual Report on Form 10-K for a discussion of regulatory capital requirements of our regulated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Broker Dealer Credit Facilities, Short-Term Bank Loans, and Prime Brokerage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various broker-dealer facilities and short-term credit facilities as part of our daily trading operations. See Note 8 “Borrowings” of Part II Item 8 “Financial Statements and Supplementary Data” of this Annual Report on Form 10-K for details on our various credit facilities. As of December 31, 2023, there was no outstanding principal balance on our broker-dealer facilities, and the outstanding aggregate short-term credit facilities with various prime brokers and other financial institutions from which the Company receives execution or clearing services was approximately $175.3 million, which was netted within Receivables from broker-dealers and clearing organizations on the Consolidated Statements of Financial Condition of Part II Item 8 “Financial Statements and Supplementary Data” of this Annual Report on Form 10-K.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though no borrowings were made. The Founder Member is an affiliate of Mr. Vincent Viola, the Company’s founder and Chairman Emeritus. Upon the execution of and in consideration for the Lender’s commitments under the Founder Member Loan Facility, the Company delivered to the Founder Member a warrant to purchase shares of the Company’s Class A Common Stock, as described below.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was entitled to purchase up to 3,000,000 shares of Class A Common Stock on or after May 22, 2020 and up to and including January 15, 2022 at a price of $22.98.</w:t>
      </w:r>
      <w:r>
        <w:rPr>
          <w:color w:val="EE2724"/>
        </w:rPr>
        <w:t xml:space="preserve"> </w:t>
      </w:r>
      <w:r>
        <w:rPr>
          <w:rFonts w:ascii="Times New Roman;sans-serif" w:hAnsi="Times New Roman;sans-serif"/>
          <w:b w:val="false"/>
          <w:color w:val="000000"/>
          <w:sz w:val="20"/>
        </w:rPr>
        <w:t>The Warrant was exercised on December 17, 2021 for 3,000,000 shares of the Company's Class A Common Stock. The Warrant and Class A Common Stock issued pursuant to the Warrant were offered, issued and sold, in reliance on the exemption from the registration requirements of the Securities Act, set forth under Section 4(a)(2) of the Securities Act relating to sales by an issuer not involving any public offering.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On the Credit Agreement Closing Date, VFH and Virtu Financial entered into the Credit Agreement. The Credit Agreement provides (i) a senior secured first lien term loan in an aggregate</w:t>
      </w:r>
      <w:r>
        <w:rPr>
          <w:color w:val="000000"/>
        </w:rPr>
        <w:t xml:space="preserve"> </w:t>
      </w:r>
      <w:r>
        <w:rPr>
          <w:rFonts w:ascii="Times New Roman;sans-serif" w:hAnsi="Times New Roman;sans-serif"/>
          <w:b w:val="false"/>
          <w:color w:val="000000"/>
          <w:sz w:val="20"/>
        </w:rPr>
        <w:t>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Secured Overnight Financing Rate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the term loans will mature on January 13, 2029. The term loans amortize in annual installments equal to 1.0% of the original aggregate principal amount of the term loans. The revolving commitments will terminate on January 13, 2025. As of December 31, 2023, $1,727.0 million was outstanding under the term loans. We were in compliance with all applicable covenants under the Credit Agreement as of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2019, the Company entered into a five-year $525 million floating-to-fixed interest rate swap agreement. In January 2020, the Company entered into a five-year $1,000.0 million floating-to-fixed interest rate swap agreement. These two interest rate swaps met the criteria to be considered and were designated as qualifying cash flow hedges under ASC 815 in the first quarter of 2020, and they effectively fixed interest payment obligations on $525.0 million and $1,000.0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terminated the two interest rate swap arrangements and received $55.8 million in proceeds from the counterparty. The Company therefore dedesignated those cash flow hedges under ASC 815, and the amounts in AOCI related to the terminated swaps are to be amortized through interest expense. The Company simultaneously entered into a two-year $1,525 million floating-to-fixed interest rate swap agreement with the same counterparty. The new interest rate swap met the criteria to be considered and was designated as a qualifying cash flow hedge under ASC 815 as of December 2023, and it effectively fixed interest payment obligations on $1,525 million of principal under the First Lien Term Loan Facility at rate of 7.5% through November 2025, based on the interest rates set forth in the Credit Agreement.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main sources of liquidity are cash flow from the operations of our subsidiaries, our broker-dealer credit facilities (as described above), margin financing provided by our prime brokers and cash on hand.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primary sources and uses of cash for the years ended December 31, 2023, 2022, and 2021.</w:t>
      </w:r>
    </w:p>
    <w:p>
      <w:pPr>
        <w:pStyle w:val="TextBody"/>
        <w:bidi w:val="0"/>
        <w:spacing w:before="0" w:after="0"/>
        <w:jc w:val="left"/>
        <w:rPr/>
      </w:pPr>
      <w:r>
        <w:rPr/>
      </w:r>
    </w:p>
    <w:tbl>
      <w:tblPr>
        <w:tblW w:w="8739" w:type="dxa"/>
        <w:jc w:val="center"/>
        <w:tblInd w:w="0" w:type="dxa"/>
        <w:tblLayout w:type="fixed"/>
        <w:tblCellMar>
          <w:top w:w="28" w:type="dxa"/>
          <w:left w:w="28" w:type="dxa"/>
          <w:bottom w:w="28" w:type="dxa"/>
          <w:right w:w="28" w:type="dxa"/>
        </w:tblCellMar>
      </w:tblPr>
      <w:tblGrid>
        <w:gridCol w:w="1584"/>
        <w:gridCol w:w="1395"/>
        <w:gridCol w:w="1401"/>
        <w:gridCol w:w="109"/>
        <w:gridCol w:w="109"/>
        <w:gridCol w:w="109"/>
        <w:gridCol w:w="196"/>
        <w:gridCol w:w="811"/>
        <w:gridCol w:w="109"/>
        <w:gridCol w:w="109"/>
        <w:gridCol w:w="109"/>
        <w:gridCol w:w="109"/>
        <w:gridCol w:w="196"/>
        <w:gridCol w:w="736"/>
        <w:gridCol w:w="109"/>
        <w:gridCol w:w="109"/>
        <w:gridCol w:w="109"/>
        <w:gridCol w:w="109"/>
        <w:gridCol w:w="196"/>
        <w:gridCol w:w="871"/>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(182,782)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$491.8 million for the year ended December 31, 2023, compared to net cash provided by operating activities of $706.8 million for the year ended December 31, 2022. The change in net cash provided by operating activities was primarily attributable to lower net income, as well as decreases in noncash adjustments for the year ended December 31, 2023 compared to the prior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which includes cash used with respect to capitalized software and cash used in the acquisition of property and equipment, was $94.5 million for the year ended December 31, 2023, compared with net cash used in investing activities of $29.5 million for the year ended December 31, 2022. Net cash used in investing activities for the year ended December 31, 2022 included cash proceeds provided by the sale of strategic investments, partially offsetting cash uses in that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$585.0 million for the year ended December 31, 2023, compared to $735.7 million for the year ended December 31, 2022. The cash used in financing activities for the year ended December 31, 2023 was primarily attributable to $306.1 million in dividends to stockholders and distributions made to noncontrolling interests and $229.0 million in purchases of treasury stock. The cash used in financing activities of $735.7 million during the same period of 2022 primarily reflects $375.3 million net dividends to stockholders and distributions to noncontrolling interests, and $480.5 million purchase of treasury stock, partially offset by $164.4 million of net proceeds from long term borrowings, and an increase of $59.1 million in short-term borrowings.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2020, the Company's Board of Directors authorized a new share repurchase program of up to $100.0 million in Class A common stock and Virtu Financial Units by December 31, 2021. Subsequently, the Company's Board of Directors authorized expansions of the share repurchase program on February 11, 2021 to $170.0 million, on May 4, 2021 to $470.0 million (and extended the duration through May 4, 2022), on November 3, 2021 to $1,220.0 million (and extended the duration through November 3, 2023, and on November 2, 2023, further extended the program through December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December 31, 2023, the Company repurchased approximately 43.6 million shares of Class A Common Stock and Virtu Financial Units for approximately $1,109.6 million. As of December 31, 2023, the Company has approximately of $110.4 million remaining capacity for future purchases of shares of Class A Common Stock and Virtu Financial Units under the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expected material cash requirements include the following contractual obligations: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$1,727.0 million of outstanding principal on our First Lien Term Loan Facility. Each year, we are required to repay $18.0 million of this balance, with the remaining principal due in 2029. On December 12, 2023, we made a voluntary prepayment of $55.0 million, and the payment is applied toward subsequent annual amortization installments. Additionally, $24.8 million of our long-term debt related to the SBI bonds is due in 2026. See Note 8 “Borrowings” in Part II Item 8 “Financial Statements and Supplementary Data” of this Annual Report on Form 10-K for more details.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lease arrangements, primarily for office space and technology and equipment. As of December 31, 2023, we had $76.3 million of operating lease payments and $11.3 million of finance lease payments due within twelve months, and $252.0 million of operating lease payments and $21.8 million of finance leases payments due after twelve months.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ultimate amounts owed under the tax receivable agreement and timing of the amounts due are not presently known. As of December 31, 2023, a total of $216.5 million has been recorded for amounts due pursuant to tax receivable agreements in the Consolidated Financial Statements representing management’s best estimate of the amounts currently expected to be owed under the tax receivable agreement, as savings are realized as a result of favorable tax attributes.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Valuation of Financial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1 — Unadjusted quoted prices in active markets that are accessible at the measurement date for identical, unrestricted assets or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2 — Quoted prices in markets that are not active and financial instruments for which all significant inputs are observable, either directly or indirectly; 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3 — Prices or valuations that require inputs that are both significant to the fair value measurement and unobservable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Consolidated Financial Statements See Note 9 “Financial Assets and Liabilities” of Part II Item 8 “Financial Statements and Supplementary Data” of this Annual Report on Form 10-K for further information about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Trading Income,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Dividends Income/Interest and Dividends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interest expense are accrued in accordance with contractual rates. Interest income consists of income earned on collateralized financing arrangements and on cash held by brokers and banks. Interest expense includes interest expense from collateralized transactions, margin and related short-term lending facilities. Dividends are recorded on the ex-dividend date, and interest is recognized on an accrual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Commissions, net and Technology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Workflow technology revenues consist of order and trade execution management and order routing services we provide through our front-end workflow solutions and network capabilities.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(i)the commission value for each customer for the products and services it receives, which is priced using the value for similar stand-alone subscription arrangements; and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(ii)a calculated ratio of the commission value for the products and services relative to the total amount of commissions generated from the customer.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At year end there is no future assessment that would affect grants with a performance condition. We record as treasury stock shares repurchased from employees for the purpose of settling tax liabilities incurred upon the issuance of common stock, the vesting of RSUs or the exercise of stock options.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Tax Receivable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general economic conditions;</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limitations on accessing capital;</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fluctuations in foreign exchange rates or other developments in equity and credit markets;</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 xml:space="preserve">industry and market considerations such as a deterioration in the environment in which an entity operates, an increased competitive environment, a decline in market-dependent multiples or metrics (considered in both absolute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terms and relative to peers), a change in the market for an entity’s products or services, or a regulatory or political development; </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cost factors such as increases in raw materials, labor, or other costs that have a negative effect on earnings and cash flows;</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overall financial performance such as negative or declining cash flows or a decline in actual or planned revenue or earnings compared with actual and projected results of relevant prior periods;</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 xml:space="preserve">other relevant entity-specific events such as changes in management, key personnel, strategy, or customers, contemplation of bankruptcy, or litigation.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after assessing the totality of such events or circumstances, an entity determines that it is not more likely than not that the fair value of a reporting unit is less than its carrying amount, then no further goodwill impairment testing is necessary.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 goodwill impairment, if indicated based on results of the qualitative assessment, is highly dependent on our estimate of a reporting unit’s fair value.</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entity has an unconditional option to bypass this qualitative assessment for any reporting unit in any period and proceed directly to performing the first step of the goodwill impairment test. An entity may resume performing the qualitative assessment in any subsequent period. </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assess goodwill for impairment on an annual basis as of July 1st and on an interim basis when certain events or circumstances exist. In the impairment assessment as of July 1, 2023, we performed a quantitative assessment as described above for each reporting unit and, the estimated fair value of each of the reporting units exceeded its respective carrying value, and therefore, goodwill was not impaired.</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each reporting unit was based on valuation techniques the Company believes market participants would use to value these reporting units, and allocated the enterprise value to each reporting unit based on an estimate of relative fair value for each reporting unit. The carrying value of each reporting unit reflects an allocation of total shareholders’ equity and represents the estimated amount of total shareholders’ equity required to support the activities of the applicable reporting unit under currently applicable regulatory capital requirements.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w:t>
      </w:r>
      <w:r>
        <w:rPr>
          <w:color w:val="263238"/>
        </w:rPr>
        <w:t xml:space="preserve"> </w:t>
      </w:r>
      <w:r>
        <w:rPr>
          <w:rFonts w:ascii="Times New Roman;sans-serif" w:hAnsi="Times New Roman;sans-serif"/>
          <w:b w:val="false"/>
          <w:color w:val="000000"/>
          <w:sz w:val="20"/>
        </w:rPr>
        <w:t>We amortize finite-lived intangible assets over their estimated useful lives. Our largest finite-lived intangible asset is customer relationships, which is being amortized over an estimated useful life of ten years. Had we used a shorter estimated useful life of seven years, the Company would have recorded an additional $21.7 million of amortization expense for the years ended December 31, 2023, 2022, and 2021, respectively. We test finite-lived intangible assets for impairment when impairment indicators are present, and if impaired, they are written down to fair value.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recently issued accounting developments and their impact or potential impact on our consolidated financial statements, see Note 2 “Summary of Significant Accounting Policies” of Part II Item 8 “Financial Statements and Supplementary Data”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 the ordinary course of business. The risks primarily relate to changes in the value of financial instruments due to factors such as market prices, interest rates, and currency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maintain inventories of exchange-listed and other equity securities, and to a lesser extent, fixed income securities and listed equity options. The fair value of these financial instruments at December 31, 2023 and December 31, 2022 was $7.4 billion and $4.6 billion, respectively, in long positions and $6.1 billion and $4.2 billion, respectively, in short positions. We also enter into futures contracts, which are recorded on our Consolidated Statements of Financial Condition within Receivable from brokers, dealers and clearing organizations or Payable to brokers, dealers and clearing organizations as applicable.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 Derivative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utilize derivative financial instruments in connection with our proprietary trading activities. We carry our trading derivative instruments at fair value with gains and losses included in Trading income, net, in the accompanying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Consolidated Statements of Financial Condition and Other comprehensive income on the Consolidated Statements of Comprehensive Income. The ineffective portion, if any, is recorded in Other, net on the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Futures Contracts</w:t>
      </w:r>
      <w:r>
        <w:rPr>
          <w:rFonts w:ascii="Times New Roman;sans-serif" w:hAnsi="Times New Roman;sans-serif"/>
          <w:b w:val="false"/>
          <w:color w:val="000000"/>
          <w:sz w:val="20"/>
        </w:rPr>
        <w:t>. As part of our proprietary market making trading strategies, we use futures contracts to gain exposure to changes in values of 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Due from Broker-Dealers and Clearing Organizations</w:t>
      </w:r>
      <w:r>
        <w:rPr>
          <w:rFonts w:ascii="Times New Roman;sans-serif" w:hAnsi="Times New Roman;sans-serif"/>
          <w:b w:val="false"/>
          <w:color w:val="000000"/>
          <w:sz w:val="20"/>
        </w:rPr>
        <w:t>. Management periodically evaluates our counterparty credit exposures to various brokers and clearing organizations with a view to limiting potential losses resulting from counterparty insolvency.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16.2% and 19.1% of our total revenues for the years ended December 31, 2023 and 2022, respectively, were denominated in non-U.S. dollar currencies. We estimate that a hypothetical 10% adverse change in the value of the U.S. dollar relative to our foreign denominated earnings would have resulted in decreases in total revenues of $37.3 million and $45.1 million for the years ended December 31, 2023 and 2022, respectively.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Consolidated Statements of Comprehensive Income and Consolidated Statements of Changes in Equity. Our primary currency translation exposures historically relate to net investments in subsidiaries having functional currencies denominated in the Euro, Pound Sterling, and Canadian dollar.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Instruments with Off Balance Sheet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Consolidated Statements of Financial Condition. Market risk is substantially dependent upon the value of the underlying financial instruments and is affected by market forces, such as volatility and changes in interest and foreign exchange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lineRule="auto" w:line="288" w:before="0" w:after="0"/>
        <w:ind w:left="0" w:right="0" w:firstLine="360"/>
        <w:jc w:val="left"/>
        <w:rPr>
          <w:color w:val="000000"/>
        </w:rPr>
      </w:pPr>
      <w:r>
        <w:rPr>
          <w:color w:val="000000"/>
        </w:rPr>
        <w:t> </w:t>
      </w:r>
    </w:p>
    <w:tbl>
      <w:tblPr>
        <w:tblW w:w="7155" w:type="dxa"/>
        <w:jc w:val="center"/>
        <w:tblInd w:w="0" w:type="dxa"/>
        <w:tblLayout w:type="fixed"/>
        <w:tblCellMar>
          <w:top w:w="28" w:type="dxa"/>
          <w:left w:w="28" w:type="dxa"/>
          <w:bottom w:w="28" w:type="dxa"/>
          <w:right w:w="28" w:type="dxa"/>
        </w:tblCellMar>
      </w:tblPr>
      <w:tblGrid>
        <w:gridCol w:w="2275"/>
        <w:gridCol w:w="1999"/>
        <w:gridCol w:w="2010"/>
        <w:gridCol w:w="255"/>
        <w:gridCol w:w="255"/>
        <w:gridCol w:w="361"/>
      </w:tblGrid>
      <w:tr>
        <w:trPr/>
        <w:tc>
          <w:tcPr>
            <w:tcW w:w="227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40">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238)</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40">
              <w:r>
                <w:rPr>
                  <w:rStyle w:val="InternetLink"/>
                  <w:rFonts w:ascii="Times New Roman;sans-serif" w:hAnsi="Times New Roman;sans-serif"/>
                  <w:b w:val="false"/>
                  <w:color w:val="0000FF"/>
                  <w:sz w:val="20"/>
                  <w:u w:val="single"/>
                </w:rPr>
                <w:t>78</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43">
              <w:r>
                <w:rPr>
                  <w:rStyle w:val="InternetLink"/>
                  <w:rFonts w:ascii="Times New Roman;sans-serif" w:hAnsi="Times New Roman;sans-serif"/>
                  <w:b w:val="false"/>
                  <w:color w:val="0000FF"/>
                  <w:sz w:val="20"/>
                  <w:u w:val="single"/>
                </w:rPr>
                <w:t>Consolidated Statements of Financial Condition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43">
              <w:r>
                <w:rPr>
                  <w:rStyle w:val="InternetLink"/>
                  <w:rFonts w:ascii="Times New Roman;sans-serif" w:hAnsi="Times New Roman;sans-serif"/>
                  <w:b w:val="false"/>
                  <w:color w:val="0000FF"/>
                  <w:sz w:val="20"/>
                  <w:u w:val="single"/>
                </w:rPr>
                <w:t>80</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46">
              <w:r>
                <w:rPr>
                  <w:rStyle w:val="InternetLink"/>
                  <w:rFonts w:ascii="Times New Roman;sans-serif" w:hAnsi="Times New Roman;sans-serif"/>
                  <w:b w:val="false"/>
                  <w:color w:val="0000FF"/>
                  <w:sz w:val="20"/>
                  <w:u w:val="single"/>
                </w:rPr>
                <w:t>Consolidated Statements of Comprehensive Income</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46">
              <w:r>
                <w:rPr>
                  <w:rStyle w:val="InternetLink"/>
                  <w:rFonts w:ascii="Times New Roman;sans-serif" w:hAnsi="Times New Roman;sans-serif"/>
                  <w:b w:val="false"/>
                  <w:color w:val="0000FF"/>
                  <w:sz w:val="20"/>
                  <w:u w:val="single"/>
                </w:rPr>
                <w:t>82</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49">
              <w:r>
                <w:rPr>
                  <w:rStyle w:val="InternetLink"/>
                  <w:rFonts w:ascii="Times New Roman;sans-serif" w:hAnsi="Times New Roman;sans-serif"/>
                  <w:b w:val="false"/>
                  <w:color w:val="0000FF"/>
                  <w:sz w:val="20"/>
                  <w:u w:val="single"/>
                </w:rPr>
                <w:t>Consolidated Statements of Changes in Equity</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49">
              <w:r>
                <w:rPr>
                  <w:rStyle w:val="InternetLink"/>
                  <w:rFonts w:ascii="Times New Roman;sans-serif" w:hAnsi="Times New Roman;sans-serif"/>
                  <w:b w:val="false"/>
                  <w:color w:val="0000FF"/>
                  <w:sz w:val="20"/>
                  <w:u w:val="single"/>
                </w:rPr>
                <w:t>83</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52">
              <w:r>
                <w:rPr>
                  <w:rStyle w:val="InternetLink"/>
                  <w:rFonts w:ascii="Times New Roman;sans-serif" w:hAnsi="Times New Roman;sans-serif"/>
                  <w:b w:val="false"/>
                  <w:color w:val="0000FF"/>
                  <w:sz w:val="20"/>
                  <w:u w:val="single"/>
                </w:rPr>
                <w:t>Consolidated Statements of Cash Flows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52">
              <w:r>
                <w:rPr>
                  <w:rStyle w:val="InternetLink"/>
                  <w:rFonts w:ascii="Times New Roman;sans-serif" w:hAnsi="Times New Roman;sans-serif"/>
                  <w:b w:val="false"/>
                  <w:color w:val="0000FF"/>
                  <w:sz w:val="20"/>
                  <w:u w:val="single"/>
                </w:rPr>
                <w:t>85</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9bf47863c748f2a4631537bedab44c_55">
              <w:r>
                <w:rPr>
                  <w:rStyle w:val="InternetLink"/>
                  <w:rFonts w:ascii="Times New Roman;sans-serif" w:hAnsi="Times New Roman;sans-serif"/>
                  <w:b w:val="false"/>
                  <w:color w:val="000080"/>
                  <w:sz w:val="20"/>
                  <w:u w:val="single"/>
                </w:rPr>
                <w:t xml:space="preserve">Notes to </w:t>
              </w:r>
            </w:hyperlink>
            <w:hyperlink w:anchor="if09bf47863c748f2a4631537bedab44c_55">
              <w:r>
                <w:rPr>
                  <w:rStyle w:val="InternetLink"/>
                  <w:rFonts w:ascii="Times New Roman;sans-serif" w:hAnsi="Times New Roman;sans-serif"/>
                  <w:b w:val="false"/>
                  <w:color w:val="000080"/>
                  <w:sz w:val="20"/>
                  <w:u w:val="single"/>
                </w:rPr>
                <w:t>Consolidated Financial Statements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9bf47863c748f2a4631537bedab44c_55">
              <w:r>
                <w:rPr>
                  <w:rStyle w:val="InternetLink"/>
                  <w:rFonts w:ascii="Times New Roman;sans-serif" w:hAnsi="Times New Roman;sans-serif"/>
                  <w:b w:val="false"/>
                  <w:color w:val="0000FF"/>
                  <w:sz w:val="20"/>
                  <w:u w:val="single"/>
                </w:rPr>
                <w:t>87</w:t>
              </w:r>
            </w:hyperlink>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Virtu Financial, Inc.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statements of financial condition of Virtu Financial, Inc. and its subsidiaries (the “Company”) as of December 31, 2023 and 2022, and the related consolidated statements of comprehensive income, of changes in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Trading Income, net (“Trading Income”)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2 to the consolidated financial statements, $1.301 billion of the Company’s Trading Income for the year ended December 31, 2023 is composed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consolidated statements of comprehensive income. The principal considerations for our determination that performing procedures relating to Trading Income is a critical audit matter are the significant audit effort in performing procedures and evaluating audit evidence related to the transactions which comprise the trading income. Addressing the matter involved performing procedures and evaluating audit evidence in connection with forming our overall opinion on the consolidated financial statements. These procedures included testing the effectiveness of controls relating to management’s calculation of Trading Income, including controls over the completeness, accuracy, existence, and valuation of trading assets and trading liabilities. These procedures also included, among others, testing of the inputs used by management in their trading income calculations and independently recalculating trading income. The procedures performed over testing of the inputs include (i) confirming a sample of trading assets, trading liabilities and cash (collectively the “equity value”) within each trading portfolio at the balance sheet date with external third parties; (ii) developing independent prices for a sample of trading assets and liabilities at the balance sheet date and comparing management’s prices to the independently developed prices; (iii) testing a sample of purchases and sales throughout the year by agreeing the quantity and price to settlement documentation, and (iv) testing the equity value of a sample of trading portfolios throughout the year by comparing the amounts to third party clearing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f09bf47863c748f2a4631537bedab44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Financial Condition</w:t>
      </w:r>
    </w:p>
    <w:tbl>
      <w:tblPr>
        <w:tblW w:w="10205" w:type="dxa"/>
        <w:jc w:val="center"/>
        <w:tblInd w:w="0" w:type="dxa"/>
        <w:tblLayout w:type="fixed"/>
        <w:tblCellMar>
          <w:top w:w="28" w:type="dxa"/>
          <w:left w:w="28" w:type="dxa"/>
          <w:bottom w:w="28" w:type="dxa"/>
          <w:right w:w="28" w:type="dxa"/>
        </w:tblCellMar>
      </w:tblPr>
      <w:tblGrid>
        <w:gridCol w:w="2526"/>
        <w:gridCol w:w="2222"/>
        <w:gridCol w:w="2225"/>
        <w:gridCol w:w="109"/>
        <w:gridCol w:w="109"/>
        <w:gridCol w:w="109"/>
        <w:gridCol w:w="196"/>
        <w:gridCol w:w="961"/>
        <w:gridCol w:w="109"/>
        <w:gridCol w:w="109"/>
        <w:gridCol w:w="109"/>
        <w:gridCol w:w="109"/>
        <w:gridCol w:w="196"/>
        <w:gridCol w:w="961"/>
        <w:gridCol w:w="155"/>
      </w:tblGrid>
      <w:tr>
        <w:trPr/>
        <w:tc>
          <w:tcPr>
            <w:tcW w:w="2526"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6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981,580 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1,187,674 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1,115,185 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6,127,752 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3,667,481 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owned and pledged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963,071 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capitalized software (net of accumulated depreciation of $367,779 and $460,763 as of December 31,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1,148,926 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(net of accumulated amortization of $381,973 and $318,013 as of December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($84,521 and $78,965, at fair value, as of December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14,466,384 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10,583,241 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1,060,432 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627,549 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to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sold, not yet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4,196,974 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 agreement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448,635 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1,795,952 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13,061,028 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8,931,814 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Virtu Financial Inc.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$0.00001), Authorized — 1,000,000,000 and 1,000,000,000 shares, Issued — 134,901,037 and 133,071,754 shares, Outstanding — 89,092,686 and 98,549,464 shares at December 31,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(par value $0.00001), Authorized — 175,000,000 and 175,000,000 shares, Issued and Outstanding — 0 and 0 shares at December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(par value $0.00001), Authorized — 90,000,000 and 90,000,000 shares, Issued and Outstanding — 8,607,998 and 9,030,066 shares at December 31,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(par value $0.00001), Authorized — 175,000,000 and 175,000,000 shares, Issued and Outstanding — 60,091,740 and 60,091,740 shares at December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45,808,351 and 34,522,290 shares at December 31,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(954,637)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1,292,613 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 (accumulated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972,317 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Virtu Financial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1,341,899 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202,629 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309,528 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f09bf47863c748f2a4631537bedab44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Financial Condition</w:t>
      </w:r>
    </w:p>
    <w:tbl>
      <w:tblPr>
        <w:tblW w:w="5901" w:type="dxa"/>
        <w:jc w:val="center"/>
        <w:tblInd w:w="0" w:type="dxa"/>
        <w:tblLayout w:type="fixed"/>
        <w:tblCellMar>
          <w:top w:w="28" w:type="dxa"/>
          <w:left w:w="28" w:type="dxa"/>
          <w:bottom w:w="28" w:type="dxa"/>
          <w:right w:w="28" w:type="dxa"/>
        </w:tblCellMar>
      </w:tblPr>
      <w:tblGrid>
        <w:gridCol w:w="967"/>
        <w:gridCol w:w="851"/>
        <w:gridCol w:w="852"/>
        <w:gridCol w:w="109"/>
        <w:gridCol w:w="109"/>
        <w:gridCol w:w="109"/>
        <w:gridCol w:w="196"/>
        <w:gridCol w:w="961"/>
        <w:gridCol w:w="109"/>
        <w:gridCol w:w="109"/>
        <w:gridCol w:w="109"/>
        <w:gridCol w:w="109"/>
        <w:gridCol w:w="196"/>
        <w:gridCol w:w="96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1,651,427 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14,466,384 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10,583,241 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f09bf47863c748f2a4631537bedab44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tbl>
      <w:tblPr>
        <w:tblW w:w="10205" w:type="dxa"/>
        <w:jc w:val="center"/>
        <w:tblInd w:w="0" w:type="dxa"/>
        <w:tblLayout w:type="fixed"/>
        <w:tblCellMar>
          <w:top w:w="28" w:type="dxa"/>
          <w:left w:w="28" w:type="dxa"/>
          <w:bottom w:w="28" w:type="dxa"/>
          <w:right w:w="28" w:type="dxa"/>
        </w:tblCellMar>
      </w:tblPr>
      <w:tblGrid>
        <w:gridCol w:w="1889"/>
        <w:gridCol w:w="1661"/>
        <w:gridCol w:w="1664"/>
        <w:gridCol w:w="109"/>
        <w:gridCol w:w="109"/>
        <w:gridCol w:w="109"/>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5"/>
      </w:tblGrid>
      <w:tr>
        <w:trPr/>
        <w:tc>
          <w:tcPr>
            <w:tcW w:w="1889"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549" w:type="dxa"/>
            <w:gridSpan w:val="6"/>
            <w:tcBorders/>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614,489 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2,811,485 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and 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compensation and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 and acquired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issue cost related to debt refinancing, prepayment and commitment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1,814,581 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996,904 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827,234 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476,878 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94,076,165 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103,997,767 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117,339,539 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94,076,165 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104,422,443 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118,423,928 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827,234 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translation adjustment,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unrealized cash flow hedges gain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852,558 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492,169 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ind w:left="0" w:right="0" w:firstLine="405"/>
        <w:jc w:val="left"/>
        <w:rPr/>
      </w:pPr>
      <w:hyperlink w:anchor="if09bf47863c748f2a4631537bedab44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Equity</w:t>
      </w:r>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tbl>
      <w:tblPr>
        <w:tblW w:w="17192"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201"/>
        <w:gridCol w:w="237"/>
        <w:gridCol w:w="133"/>
        <w:gridCol w:w="109"/>
        <w:gridCol w:w="109"/>
        <w:gridCol w:w="109"/>
        <w:gridCol w:w="338"/>
        <w:gridCol w:w="338"/>
        <w:gridCol w:w="151"/>
        <w:gridCol w:w="109"/>
        <w:gridCol w:w="109"/>
        <w:gridCol w:w="109"/>
        <w:gridCol w:w="166"/>
        <w:gridCol w:w="406"/>
        <w:gridCol w:w="109"/>
        <w:gridCol w:w="109"/>
        <w:gridCol w:w="109"/>
        <w:gridCol w:w="109"/>
        <w:gridCol w:w="338"/>
        <w:gridCol w:w="338"/>
        <w:gridCol w:w="151"/>
        <w:gridCol w:w="109"/>
        <w:gridCol w:w="109"/>
        <w:gridCol w:w="109"/>
        <w:gridCol w:w="201"/>
        <w:gridCol w:w="237"/>
        <w:gridCol w:w="133"/>
        <w:gridCol w:w="109"/>
        <w:gridCol w:w="109"/>
        <w:gridCol w:w="109"/>
        <w:gridCol w:w="344"/>
        <w:gridCol w:w="347"/>
        <w:gridCol w:w="151"/>
        <w:gridCol w:w="109"/>
        <w:gridCol w:w="109"/>
        <w:gridCol w:w="109"/>
        <w:gridCol w:w="166"/>
        <w:gridCol w:w="481"/>
        <w:gridCol w:w="109"/>
        <w:gridCol w:w="109"/>
        <w:gridCol w:w="109"/>
        <w:gridCol w:w="109"/>
        <w:gridCol w:w="166"/>
        <w:gridCol w:w="616"/>
        <w:gridCol w:w="109"/>
        <w:gridCol w:w="109"/>
        <w:gridCol w:w="109"/>
        <w:gridCol w:w="109"/>
        <w:gridCol w:w="166"/>
        <w:gridCol w:w="566"/>
        <w:gridCol w:w="109"/>
        <w:gridCol w:w="327"/>
        <w:gridCol w:w="201"/>
        <w:gridCol w:w="582"/>
        <w:gridCol w:w="133"/>
        <w:gridCol w:w="327"/>
        <w:gridCol w:w="166"/>
        <w:gridCol w:w="616"/>
        <w:gridCol w:w="109"/>
        <w:gridCol w:w="327"/>
        <w:gridCol w:w="177"/>
        <w:gridCol w:w="577"/>
        <w:gridCol w:w="117"/>
        <w:gridCol w:w="327"/>
        <w:gridCol w:w="166"/>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Virtu Financial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(in thousands, except share and interest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125,627,277 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10,226,939 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(3,615,097)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(88,923)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1,160,567 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422,381 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(25,487)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1,468,540 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386,498 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1,855,038 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2,434,251 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55,654 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55,654 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55,654 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Class 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(120,025)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(840,229)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(14,711,766)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(405,152)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(427,453)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(427,453)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 option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528,497 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350,356 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827,234 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(7,673)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(4,797)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Warrants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3,000,000 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change in unrealized cash flow hedges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22,964 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14,830 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($0.24 per share of Class A common</w:t>
            </w:r>
          </w:p>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stock and participating Restricted Stock Unit and</w:t>
            </w:r>
          </w:p>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Restricted Stock Award) and distributions from</w:t>
            </w:r>
          </w:p>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(432,657)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(548,017)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747,849 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Virtu Financial Units and corresponding number of Class C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(747,849)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tax receivable agreements in connection with employee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131,497,645 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9,359,065 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(18,326,863)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(494,075)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1,223,119 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830,538 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(10,196)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1,549,388 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314,230 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1,863,618 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1,897,030 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71,597 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71,597 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71,597 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Class 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(236,069)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(684,730)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(16,195,427)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(460,562)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(480,544)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(480,544)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 option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268,879 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203,306 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468,332 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(13,605)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(10,649)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change in unrealized cash flow hedges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55,405 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35,460 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($0.24 per share of Class A common</w:t>
            </w:r>
          </w:p>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stock and participating Restricted Stock Unit and</w:t>
            </w:r>
          </w:p>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Restricted Stock Award) and distributions from</w:t>
            </w:r>
          </w:p>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(103,265)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(103,265)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(272,019)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(375,284)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92,930 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Virtu Financial Units and corresponding number of Class C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(92,930)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39,200 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tax receivable agreements in connection with employee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133,071,754 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9,030,066 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(34,522,290)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(954,637)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1,292,613 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972,317 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31,604 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1,341,899 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309,528 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1,651,427 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2,627,823 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(235,674)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(984,934)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(11,286,061)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(211,662)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(230,781)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(230,781)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f09bf47863c748f2a4631537bedab44c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Equity</w:t>
      </w:r>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tbl>
      <w:tblPr>
        <w:tblW w:w="17332"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201"/>
        <w:gridCol w:w="237"/>
        <w:gridCol w:w="133"/>
        <w:gridCol w:w="109"/>
        <w:gridCol w:w="109"/>
        <w:gridCol w:w="109"/>
        <w:gridCol w:w="307"/>
        <w:gridCol w:w="309"/>
        <w:gridCol w:w="151"/>
        <w:gridCol w:w="109"/>
        <w:gridCol w:w="109"/>
        <w:gridCol w:w="109"/>
        <w:gridCol w:w="166"/>
        <w:gridCol w:w="406"/>
        <w:gridCol w:w="109"/>
        <w:gridCol w:w="109"/>
        <w:gridCol w:w="109"/>
        <w:gridCol w:w="109"/>
        <w:gridCol w:w="338"/>
        <w:gridCol w:w="338"/>
        <w:gridCol w:w="151"/>
        <w:gridCol w:w="109"/>
        <w:gridCol w:w="109"/>
        <w:gridCol w:w="109"/>
        <w:gridCol w:w="201"/>
        <w:gridCol w:w="237"/>
        <w:gridCol w:w="133"/>
        <w:gridCol w:w="109"/>
        <w:gridCol w:w="109"/>
        <w:gridCol w:w="109"/>
        <w:gridCol w:w="345"/>
        <w:gridCol w:w="346"/>
        <w:gridCol w:w="151"/>
        <w:gridCol w:w="109"/>
        <w:gridCol w:w="109"/>
        <w:gridCol w:w="109"/>
        <w:gridCol w:w="166"/>
        <w:gridCol w:w="631"/>
        <w:gridCol w:w="109"/>
        <w:gridCol w:w="109"/>
        <w:gridCol w:w="109"/>
        <w:gridCol w:w="109"/>
        <w:gridCol w:w="166"/>
        <w:gridCol w:w="616"/>
        <w:gridCol w:w="109"/>
        <w:gridCol w:w="109"/>
        <w:gridCol w:w="109"/>
        <w:gridCol w:w="109"/>
        <w:gridCol w:w="166"/>
        <w:gridCol w:w="616"/>
        <w:gridCol w:w="109"/>
        <w:gridCol w:w="327"/>
        <w:gridCol w:w="201"/>
        <w:gridCol w:w="582"/>
        <w:gridCol w:w="133"/>
        <w:gridCol w:w="327"/>
        <w:gridCol w:w="166"/>
        <w:gridCol w:w="616"/>
        <w:gridCol w:w="109"/>
        <w:gridCol w:w="327"/>
        <w:gridCol w:w="180"/>
        <w:gridCol w:w="571"/>
        <w:gridCol w:w="120"/>
        <w:gridCol w:w="327"/>
        <w:gridCol w:w="166"/>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Virtu Financial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(in thousands, except share and interest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 option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121,885 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263,921 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(1,995)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change in unrealized cash flow hedges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(21,509)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(15,484)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(36,993)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($0.24 per share of Class A common stock and participating Restricted Stock Unit and Restricted Stock Award) and distributions from Virtu Financial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(211,305)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(306,136)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186,394 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Virtu Financial Units and corresponding number of Class C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(186,394)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tax receivable agreements in connection with employee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134,901,037 </w:t>
            </w:r>
          </w:p>
        </w:tc>
        <w:tc>
          <w:tcPr>
            <w:tcW w:w="1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8,607,998 </w:t>
            </w:r>
          </w:p>
        </w:tc>
        <w:tc>
          <w:tcPr>
            <w:tcW w:w="1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(45,808,351)</w:t>
            </w:r>
          </w:p>
        </w:tc>
        <w:tc>
          <w:tcPr>
            <w:tcW w:w="1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(1,166,299)</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1,351,574 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1,000,403 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17,047 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1,202,727 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202,629 </w:t>
            </w:r>
          </w:p>
        </w:tc>
        <w:tc>
          <w:tcPr>
            <w:tcW w:w="1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1,405,356 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bl>
    <w:tbl>
      <w:tblPr>
        <w:tblW w:w="954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f09bf47863c748f2a4631537bedab44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092"/>
        <w:gridCol w:w="1835"/>
        <w:gridCol w:w="1846"/>
        <w:gridCol w:w="109"/>
        <w:gridCol w:w="109"/>
        <w:gridCol w:w="109"/>
        <w:gridCol w:w="197"/>
        <w:gridCol w:w="745"/>
        <w:gridCol w:w="109"/>
        <w:gridCol w:w="109"/>
        <w:gridCol w:w="109"/>
        <w:gridCol w:w="109"/>
        <w:gridCol w:w="196"/>
        <w:gridCol w:w="871"/>
        <w:gridCol w:w="109"/>
        <w:gridCol w:w="109"/>
        <w:gridCol w:w="109"/>
        <w:gridCol w:w="109"/>
        <w:gridCol w:w="196"/>
        <w:gridCol w:w="871"/>
        <w:gridCol w:w="157"/>
      </w:tblGrid>
      <w:tr>
        <w:trPr/>
        <w:tc>
          <w:tcPr>
            <w:tcW w:w="2092"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7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827,234 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used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and prepayment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 and deferred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657,199 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(2,728,059)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(1,141,224)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(267,126)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587,071 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1,171,626 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(87,349)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to stockholders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(548,017)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(427,453)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tax receivable agreement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(585,032)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(957,859)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or segregated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1,007,005 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or segregated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1,120,953 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f09bf47863c748f2a4631537bedab44c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187"/>
        <w:gridCol w:w="1921"/>
        <w:gridCol w:w="1947"/>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2187"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6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Supplementary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and accrued incentive compensation to developers relating to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Tax receivable agreement described in Note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shares and per share amounts,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December 31, 2023, VFI owned approximately 57.8% of the membership interests of Virtu Financial. VFI is the sole managing member of Virtu Financial and operates and controls all of the businesses and affairs of Virtu Financial and its subsidiaries (the “Group”).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options,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completed two significant acquisitions that have expanded and complemented Virtu Financial's original electronic trading and marking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(“VFIL”) and Virtu Europe Trading Limited (“VETL”) (f/k/a Virtu ITG Europe Limited), each formed in Ireland; Virtu ITG UK Limited (“VIUK”), formed in the United Kingdom; Virtu Canada Corp (f/k/a Virtu ITG Canada Corp.),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segments: (i) Market Making and (ii) Execution Services; and one non-operating segment: Corporate. See Note 21 “Geographic Information and Business Segments” for a further discussion of the Company’s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Consolidation and Form of Presentation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Consolidated Financial Statements are presented in U.S. dollars, have been prepared pursuant to the rules and regulations of the U.S. Securities and Exchange Commission (“SEC”) regarding financial reporting with respect to Form 10-K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The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Virtu Financial that the Company does not own as noncontrolling interests. All intercompany accounts and transactions have been eliminated in consolidation.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the prior periods' Consolidated Financial Statements in order to conform to the current period presentation. Such reclassifications are immaterial, individually and in the aggregate, to both current and all previously issued financial statements taken as a whole and have no effect on previously reported consolidated net income available to common stockholders.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are prepared in conformity with U.S. GAAP, which require management to make estimates and assumptions regarding measurements including the fair value of trading assets and liabilities, allowance for doubtful accounts, goodwill and intangibles, compensation accruals, capitalized software, income tax, tax receivable agreements, leases, litigation accruals, and other matters that affect the reported amounts of assets and liabilities and disclosure of contingent assets and liabilities at the date of the Consolidated Financial Statements and the reported amounts of revenue and expenses during the reporting period. Accordingly, actual results could differ materially from those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restricted stock awards (“RSAs”) and restricted stock units (“RSUs”), certain of which entitle recipients to receive non-forfeitable dividends during the vesting period on a basis equivalent to the dividends paid to holders of common stock. As a result, the unvested RSAs and participating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money market accounts, which are payable on demand, and short-term investments with an original maturity of less than 90 days. The Company maintains cash in bank deposit accounts that, at times, may exceed federally insured limits. The Company manages this risk by selecting financial institutions deemed highly creditworthy to minimize the risk.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restricted or segregated under regulations and other represents (i) special reserve bank accounts for the exclusive benefit of customers (“Special Reserve Bank Account”) maintained by VAL in accordance with Rule 15c3-3 of the Securities Exchange Act of 1934, as amended (“Customer Protection Rule”), and special reserve accounts for the exclusive benefit of proprietary accounts of broker-dealers, (ii) funds on deposit for Canadian and European trade clearing and settlement activity, (iii) segregated balances under a collateral account control agreement for the benefit of certain customers in Hong Kong, and (iv) funds relating to the securitization of bank guarantees supporting certain of the Company’s foreign leases.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Securities Borrowed and Securities Loaned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conducts securities borrowing and lending activities with external counterparties. In connection with these transactions, the Company receives or posts collateral, which comprises cash and/or securities. In accordance with substantially all of its securities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Consolidated Statements of Financial Condition. Interest received or paid by the Company for these transactions is recorded gross on an accrual basis under Interest and dividends income or Interest and dividends expense in the Consolidated Statements of Comprehensive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Securities Purchased Under Agreements to Resell and Securities Sold Under Agreements to Repurchase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Consolidated Statements of Comprehensive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Receivables from/Payables to Broker-dealers and Clearing Organizations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and payables to broker-dealers and clearing organizations primarily represent amounts due for unsettled trades, open equity in futures transactions, securities failed to deliver or failed to receive, deposits with clearing organizations or exchanges, and balances due from or due to prime brokers in relation to the Company’s trading. Amounts receivable from broker-dealers and clearing organizations may be restricted to the extent that they serve as deposits for securities sold, not yet purchased. The Company presents its balances, including outstanding principal balances on all broker credit facilities, on a net-by-counterparty basis within receivables from and payables to broker-dealers and clearing organizations when the criteria for offsetting are met.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a significant portion of the Company’s securities transactions, money balances, and security positions are transacted with several third-party brokers. The Company is subject to credit risk to the extent any broker with whom it conducts business is unable to fulfill contractual obligations on its behalf. The Company monitors the financial condition of such brokers to minimize the risk of any losses from these counterparties.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Financial Instruments Owned Including Those Pledged as Collateral and Financial Instruments Sold, Not Yet Purchased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owned and Financial instruments sold, not yet purchased relate to market making and trading activities, and include listed and other equity securities, listed equity options and fixed income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Financial instruments owned, Financial instruments owned and pledged, and Financial instruments sold, not yet purchased at fair value. Gains and losses arising from financial instrument transactions are recorded net on a trade-date basis in Trading income, net, in the Consolidated Statements of Comprehensive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measured and reported at fair value are classified and disclosed in one of the following categories based on inputs: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 Unadjusted quoted prices in active markets that are accessible at the measurement date for identical, unrestricted assets or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 Quoted prices in markets that are not active and financial instruments for which all significant inputs are observable, either directly or indirectly; or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 Prices or valuations that require inputs that are both significant to the fair value measurement and unobservable.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Option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Consolidated Statements of Comprehensive Income. The decision to elect the fair value option is determined on an instrument by instrument basis, which must be applied to an entire instrument and is irrevocable once elected.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Derivative Instruments - Trading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instruments are used for trading purposes, including economic hedges of trading instruments, are carried at fair value, and include futures, forward contracts, and options. The Company does not apply hedge accounting as defined in ASC 815, Derivatives and Hedging, and accordingly gains or losses on these derivative instruments are recognized currently within Trading income, net in the Consolidated Statements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presents its trading derivatives balances on a net-by-counterparty basis when the criteria for offsetting are met. Cash flows associated with such derivative activities are included in cash flows from operating activities on the Consolidated Statements of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Derivative Instruments - Hedging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use derivative instruments for risk management purposes, including cash flow hedges used to manage interest rate risk on long-term borrowings. The Company has entered into floating-to-fixed interest rate swap agreements in order to manage interest rate risk associated with its long-term debt obligations.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interest rate swap agreements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For instruments that meet the criteria to be considered hedging instruments under ASC 815, any gains or losses, to the extent effective, are included in Accumulated other comprehensive income on the Consolidated Statements of Financial Condition and Other comprehensive income on the Consolidated Statements of Comprehensive Income. The ineffective portion, if any, is recorded in Other, net on the Consolidated Statements of Comprehensive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presents its hedging derivatives balances on a net-by-counterparty basis when the criteria for offsetting are met. Balances associated with hedging derivatives are recorded within Receivables from/Payables to broker-dealers and clearing organizations on the Consolidated Statements of Financial Condition. Cash flows associated with such derivative activities are included in cash flows from operating activities on the Consolidated Statements of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carried at cost, less accumulated depreciation, except for the assets acquired in connection with acquisitions using the purchase accounting method, which were recorded at fair value on date of acquisition.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Capitalized Software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costs of materials, consultants, and payroll and payroll-related costs for employees incurred in developing internal-use software. Costs incurred during the preliminary project and post-implementation stages are charged to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and related accumulated amortization are included in Property, equipment and capitalized software in the accompanying Consolidated Statements of Financial Condition and are amortized over a period of 1.5 to 3 years, which represents the estimated useful lives of the underlying software.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the inception of the arrangement. Operating leases are included in Operating lease right-of-use (“ROU”) assets and Operating lease liabilities on the Consolidated Statements of Financial Condition. Operating lease ROU assets are assets that represent the lessee’s right to use, or control the use of, a specified asset for the lease term. Finance leases consist primarily of leases for technology and equipment and are included in Property, equipment, and capitalized software and Accounts payable, accrued expenses and other liabilities on the Consolidated Statements of Financial Condition. ROU assets and lease liabilities are recognized based on the present value of the future minimum lease payments over the lease term at the commencement date. The Company uses its incremental borrowing rate, based on the information available at the commencement date of the lease, in determining the present value of future payments. The ROU assets are reduced by lease incentives and initial direct costs incurred. The Company's lease terms may include options to extend or terminate the lease when it is reasonably certain that the Company will exercise that option. Lease expense for operating leases and amortization of the finance lease ROU asset is recognized on a straight-line basis over the lease term. Lease expense related to the leasing of corporate office space is recorded in Operations and Administrative expenses on the Consolidated Statements of Comprehensive Income. Lease expense related to the leasing of data centers and other technology is recorded in Communication and Data Processing on the Consolidated Statements of Comprehensive Income. Certain of the Company's lease agreements contain fixed lease payments that contain lease and non-lease components; for such leases, the Company accounts for the lease and non-lease components as a single lease component. The Company nets its sublease income against corresponding lease expenses within Operations and Administrative expenses on the Consolidated Statements of Comprehensive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underlying net tangible and intangible assets of the Company’s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assesses goodwill for impairment on an annual basis on July 1 and on an interim basis when certain events occur or certain circumstances exist. In the impairment assessment as of July 1, 2023, the Company assessed quantitative factors as described in ASC 350-20 for each of its reporting units for any indicators that the fair values of the reporting units were less than their carrying values. No impairment was identified.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amortizes finite-lived intangible assets over their estimated useful lives. Finite-lived intangible assets are tested for impairment when impairment indicators are present, and if impaired, they are written down to fair value.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Exchange Memberships and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Exchange memberships are recorded at cost or, if any other than temporary impairment in value has occurred, at a value that reflects management’s estimate of fair value. Exchange stock includes shares that entitle the Company to certain trading privileges.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Trading Income,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Trading income, net is composed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Consolidated Statements of Comprehensive Income.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Commissions, net and Technology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Consolidated Statements of Comprehensive Income.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order management software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provides analytics products and services to customers and recognizes subscription fees, which are fixed for the contract term, based on when the products and services are delivered. Analytics products and services may be bundled with trade execution services, in which case commissions are allocated to the analytics performance obligations using an allocation methodology.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and Dividends Income/Interest and Dividends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Brokerage, Exchange, Clearance Fees and Payments for Order Flow,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Brokerage, exchange, clearance fees and payments for order flow, net, comprise the costs of executing and clearing trades and are accrued on a trade date basis in the Consolidated Statements of Comprehensive Income. These costs are net of rebates, which consist of volume discounts, credits or payments received from exchanges or other marketplaces related to the placement and/or removal of liquidity from the order flow in the marketplace. Rebates are recorded on an accrual basis. Payments for order flow represent payments to broker-dealer clients, in the normal course of business, for directing their order flow in U.S. equities to the Company.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state and local income taxes on its taxable income. The Company's subsidiaries are subject to income taxes in the respective jurisdictions (including foreign jurisdictions) in which they operate.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comprises current tax and deferred tax. Current tax represents the tax on current year tax returns, using tax rates enacted at the balance sheet date. Deferred tax assets are recognized in full and then reduced by a valuation allowance if it is more likely than not that some or all of the deferred tax assets will not be recognized.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consists of two components: net income and other comprehensive income (“OCI”). The Company’s OCI comprises foreign currency translation adjustments, net of taxes and mark-to-market gains and losses on the Company's derivative instruments designated as hedging instruments under ASC 815, net of taxes.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OCI, a component of stockholders’ equity. While certain of the Company's foreign subsidiaries use the U.S. dollar as their functional currency, the Company also has subsidiaries that utilize a functional currency other than the U.S. dollar, primarily comprising its subsidiaries domiciled in Ireland, which utilize the Euro and Pound Sterling as the functional currency, and subsidiaries domiciled in Canada, which utilize the Canadian dollar as the functional currency.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use derivative instruments for risk management purposes, including cash flow hedges used to manage interest rate risk on long-term borrowings and net investment hedges used to manage foreign exchange risk. For instruments that meet the criteria to be considered hedging instruments under ASC 815, any gains or losses are initially included in Accumulated OCI on the Consolidated Statements of Financial Condition and OCI on the Consolidated Statements of Comprehensive Income, as the hedged item affects earnings.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 issued for compensation in connection with or subsequent to the Company's initial public offering in April 2015 (the “IPO”) and certain reorganization transactions consummated in connection with the IPO (the “Reorganization Transactions”) pursuant to the Virtu Financial, Inc. 2015 Management Incentive Plan (as amended, the “Amended and Restated 2015 Management Incentive Plan”) and pursuant to the Amended and Restated Investment Technology Group, Inc. 2007 Omnibus Equity Compensation Plan, dated as of June 8, 2017 (the “Amended and Restated ITG 2007 Equity Plan”), are in the form of stock options, Class A common stock, par value $0.00001 per share (the “Class A Common Stock”), RSAs and RSUs, as applicable. The fair values of the Class A Common Stock and RSUs are determined based on the volume weighted average price for the three days preceding the grant. With respect to the RSUs, forfeitures are accounted for as they occur. The fair value of RSAs is determined based on the closing price as of the grant date. The fair value of share-based awards granted to employees is expensed based on the vesting conditions and is recognized on a straight-line basis over the vesting period, or, in the case of RSAs subject to performance conditions, from the date that achievement of the performance target becomes probable through the remainder of the vesting period. The Company records as treasury stock shares repurchased from its employees for the purpose of settling tax liabilities incurred upon the issuance of Class A Common Stock, the vesting of RSUs or the exercise of stock options.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Variable Interest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pStyle w:val="TextBody"/>
        <w:bidi w:val="0"/>
        <w:spacing w:before="0" w:after="0"/>
        <w:ind w:left="0" w:right="0" w:firstLine="36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Accounting Pronouncements, Recently Adopted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Derivatives and Hedging</w:t>
      </w:r>
      <w:r>
        <w:rPr>
          <w:color w:val="000000"/>
        </w:rPr>
        <w:t xml:space="preserve"> </w:t>
      </w:r>
      <w:r>
        <w:rPr>
          <w:rFonts w:ascii="Times New Roman;sans-serif" w:hAnsi="Times New Roman;sans-serif"/>
          <w:b w:val="false"/>
          <w:color w:val="000000"/>
          <w:sz w:val="20"/>
        </w:rPr>
        <w:t>- In March 2022, the FASB issued ASU 2022-01,</w:t>
      </w:r>
      <w:r>
        <w:rPr>
          <w:color w:val="000000"/>
        </w:rPr>
        <w:t xml:space="preserve"> </w:t>
      </w:r>
      <w:r>
        <w:rPr>
          <w:rFonts w:ascii="Times New Roman;sans-serif" w:hAnsi="Times New Roman;sans-serif"/>
          <w:b w:val="false"/>
          <w:i/>
          <w:color w:val="000000"/>
          <w:sz w:val="20"/>
        </w:rPr>
        <w:t>Derivatives and Hedging - Fair Value Hedging - Portfolio Layer Method (Topic 815)</w:t>
      </w:r>
      <w:r>
        <w:rPr>
          <w:rFonts w:ascii="Times New Roman;sans-serif" w:hAnsi="Times New Roman;sans-serif"/>
          <w:b w:val="false"/>
          <w:color w:val="000000"/>
          <w:sz w:val="20"/>
        </w:rPr>
        <w:t>. The ASU expands the scope of permissible hedging, and permits the use of different derivative structures as hedging instruments. The Company adopted this ASU on January 1, 2023 and it did not have a material impact on its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Liabilities - Supplier Finance Programs</w:t>
      </w:r>
      <w:r>
        <w:rPr>
          <w:color w:val="000000"/>
        </w:rPr>
        <w:t xml:space="preserve"> </w:t>
      </w:r>
      <w:r>
        <w:rPr>
          <w:rFonts w:ascii="Times New Roman;sans-serif" w:hAnsi="Times New Roman;sans-serif"/>
          <w:b w:val="false"/>
          <w:color w:val="000000"/>
          <w:sz w:val="20"/>
        </w:rPr>
        <w:t xml:space="preserve">- In September 2022, the FASB issued ASU 2022-04, </w:t>
      </w:r>
      <w:r>
        <w:rPr>
          <w:rFonts w:ascii="Times New Roman;sans-serif" w:hAnsi="Times New Roman;sans-serif"/>
          <w:b w:val="false"/>
          <w:i/>
          <w:color w:val="000000"/>
          <w:sz w:val="20"/>
        </w:rPr>
        <w:t>Liabilities—Supplier Finance Programs (Subtopic 405-50)</w:t>
      </w:r>
      <w:r>
        <w:rPr>
          <w:rFonts w:ascii="Times New Roman;sans-serif" w:hAnsi="Times New Roman;sans-serif"/>
          <w:b w:val="false"/>
          <w:color w:val="000000"/>
          <w:sz w:val="20"/>
        </w:rPr>
        <w:t>. This ASU requires new quantitative and qualitative disclosure requirements for a buyer who enters into supplier financing programs. The Company adopted this ASU on January 1, 2023 and it did not have a material impact on its Consolidated Financial Statements.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FASB issued ASU 2023-03, </w:t>
      </w:r>
      <w:r>
        <w:rPr>
          <w:rFonts w:ascii="Times New Roman;sans-serif" w:hAnsi="Times New Roman;sans-serif"/>
          <w:b w:val="false"/>
          <w:i/>
          <w:color w:val="000000"/>
          <w:sz w:val="20"/>
        </w:rPr>
        <w:t>Presentation of Financial Statements (Topic 205), Income Statement—Reporting Comprehensive Income (Topic 220), Distinguishing Liabilities from Equity (Topic 480), Equity (Topic 505), and Compensation—Stock Compensation (Topic 718): Amendments to SEC Paragraphs Pursuant to SEC Staff Accounting Bulletin No. 120, SEC Staff Announcement at the March 24, 2022 EITF Meeting, and Staff Accounting Bulletin Topic 6.B, Accounting Series Release 280—General Revision of Regulation S-X: Income or Loss Applicable to Common Stock (SEC Update)</w:t>
      </w:r>
      <w:r>
        <w:rPr>
          <w:color w:val="000000"/>
        </w:rPr>
        <w:t xml:space="preserve"> </w:t>
      </w:r>
      <w:r>
        <w:rPr>
          <w:rFonts w:ascii="Times New Roman;sans-serif" w:hAnsi="Times New Roman;sans-serif"/>
          <w:b w:val="false"/>
          <w:color w:val="000000"/>
          <w:sz w:val="20"/>
        </w:rPr>
        <w:t xml:space="preserve">in July 2023, and ASU 2023-04, </w:t>
      </w:r>
      <w:r>
        <w:rPr>
          <w:rFonts w:ascii="Times New Roman;sans-serif" w:hAnsi="Times New Roman;sans-serif"/>
          <w:b w:val="false"/>
          <w:i/>
          <w:color w:val="000000"/>
          <w:sz w:val="20"/>
        </w:rPr>
        <w:t>Liabilities (Topic 405): Amendments to SEC Paragraphs Pursuant to SEC Staff Accounting Bulletin No. 121 (SEC Update)</w:t>
      </w:r>
      <w:r>
        <w:rPr>
          <w:color w:val="000000"/>
        </w:rPr>
        <w:t xml:space="preserve"> </w:t>
      </w:r>
      <w:r>
        <w:rPr>
          <w:rFonts w:ascii="Times New Roman;sans-serif" w:hAnsi="Times New Roman;sans-serif"/>
          <w:b w:val="false"/>
          <w:color w:val="000000"/>
          <w:sz w:val="20"/>
        </w:rPr>
        <w:t>in August 2023. These ASUs amend and supersede various SEC paragraphs across multiple topics within the Codification to conform to past SEC announcements and guidance issued by the SEC. As the ASUs do not provide any new accounting standards, no transition or effective dates are associated with them. As such, the Company considers these adopted as of September 30, 2023 with no material impact on its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Accounting Pronouncements, Not Yet Adopted as of December 31, 2023</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Fair Value Measurement</w:t>
      </w:r>
      <w:r>
        <w:rPr>
          <w:color w:val="000000"/>
        </w:rPr>
        <w:t xml:space="preserve"> </w:t>
      </w:r>
      <w:r>
        <w:rPr>
          <w:rFonts w:ascii="Times New Roman;sans-serif" w:hAnsi="Times New Roman;sans-serif"/>
          <w:b w:val="false"/>
          <w:color w:val="000000"/>
          <w:sz w:val="20"/>
        </w:rPr>
        <w:t xml:space="preserve">- In June 2022, the FASB issued ASU 2022-03, </w:t>
      </w:r>
      <w:r>
        <w:rPr>
          <w:rFonts w:ascii="Times New Roman;sans-serif" w:hAnsi="Times New Roman;sans-serif"/>
          <w:b w:val="false"/>
          <w:i/>
          <w:color w:val="000000"/>
          <w:sz w:val="20"/>
        </w:rPr>
        <w:t>Fair Value Measurement of Equity Securities Subject to Contractual Sale Restrictions (Topic 326)</w:t>
      </w:r>
      <w:r>
        <w:rPr>
          <w:rFonts w:ascii="Times New Roman;sans-serif" w:hAnsi="Times New Roman;sans-serif"/>
          <w:b w:val="false"/>
          <w:color w:val="000000"/>
          <w:sz w:val="20"/>
        </w:rPr>
        <w:t>. The ASU clarifies the impact of contractual sale restrictions on the fair value of an equity security. Additionally, this ASU requires disclosure of the nature and remaining duration of the sale restriction. This ASU is effective for periods beginning after December 15, 2023. The Company does not expect it to have a material impact on its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Leases - Common Control Arrangements</w:t>
      </w:r>
      <w:r>
        <w:rPr>
          <w:color w:val="000000"/>
        </w:rPr>
        <w:t xml:space="preserve"> </w:t>
      </w:r>
      <w:r>
        <w:rPr>
          <w:rFonts w:ascii="Times New Roman;sans-serif" w:hAnsi="Times New Roman;sans-serif"/>
          <w:b w:val="false"/>
          <w:color w:val="000000"/>
          <w:sz w:val="20"/>
        </w:rPr>
        <w:t xml:space="preserve">- In March 2023, the FASB issued ASU 2023-01, </w:t>
      </w:r>
      <w:r>
        <w:rPr>
          <w:rFonts w:ascii="Times New Roman;sans-serif" w:hAnsi="Times New Roman;sans-serif"/>
          <w:b w:val="false"/>
          <w:i/>
          <w:color w:val="000000"/>
          <w:sz w:val="20"/>
        </w:rPr>
        <w:t>Leases—Common Control Arrangements (Topic 842)</w:t>
      </w:r>
      <w:r>
        <w:rPr>
          <w:rFonts w:ascii="Times New Roman;sans-serif" w:hAnsi="Times New Roman;sans-serif"/>
          <w:b w:val="false"/>
          <w:color w:val="000000"/>
          <w:sz w:val="20"/>
        </w:rPr>
        <w:t>. This ASU provides updated guidance for accounting for common control leases and leasehold improvements. This ASU is effective for periods beginning after December 15, 2023. The Company does not expect it to have a material impact on its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Investments - Equity Method and Joint Ventures</w:t>
      </w:r>
      <w:r>
        <w:rPr>
          <w:color w:val="000000"/>
        </w:rPr>
        <w:t xml:space="preserve"> </w:t>
      </w:r>
      <w:r>
        <w:rPr>
          <w:rFonts w:ascii="Times New Roman;sans-serif" w:hAnsi="Times New Roman;sans-serif"/>
          <w:b w:val="false"/>
          <w:color w:val="000000"/>
          <w:sz w:val="20"/>
        </w:rPr>
        <w:t xml:space="preserve">- In March 2023, the FASB issued ASU 2023-02, </w:t>
      </w:r>
      <w:r>
        <w:rPr>
          <w:rFonts w:ascii="Times New Roman;sans-serif" w:hAnsi="Times New Roman;sans-serif"/>
          <w:b w:val="false"/>
          <w:i/>
          <w:color w:val="000000"/>
          <w:sz w:val="20"/>
        </w:rPr>
        <w:t>Investments—Equity Method and Joint Ventures (Topic 323)</w:t>
      </w:r>
      <w:r>
        <w:rPr>
          <w:rFonts w:ascii="Times New Roman;sans-serif" w:hAnsi="Times New Roman;sans-serif"/>
          <w:b w:val="false"/>
          <w:color w:val="000000"/>
          <w:sz w:val="20"/>
        </w:rPr>
        <w:t>. This ASU provides updated guidance for accounting for investments in tax credit structures. This ASU is effective for periods beginning after December 15, 2023. The Company does not expect it to have a material impact on its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Business Combinations—Joint Venture Formations</w:t>
      </w:r>
      <w:r>
        <w:rPr>
          <w:color w:val="000000"/>
        </w:rPr>
        <w:t xml:space="preserve"> </w:t>
      </w:r>
      <w:r>
        <w:rPr>
          <w:rFonts w:ascii="Times New Roman;sans-serif" w:hAnsi="Times New Roman;sans-serif"/>
          <w:b w:val="false"/>
          <w:color w:val="000000"/>
          <w:sz w:val="20"/>
        </w:rPr>
        <w:t xml:space="preserve">- In August 2023, the FASB issued ASU 2023-05, </w:t>
      </w:r>
      <w:r>
        <w:rPr>
          <w:rFonts w:ascii="Times New Roman;sans-serif" w:hAnsi="Times New Roman;sans-serif"/>
          <w:b w:val="false"/>
          <w:i/>
          <w:color w:val="000000"/>
          <w:sz w:val="20"/>
        </w:rPr>
        <w:t>Business Combinations—Joint Venture Formations (Subtopic 805-60)</w:t>
      </w:r>
      <w:r>
        <w:rPr>
          <w:rFonts w:ascii="Times New Roman;sans-serif" w:hAnsi="Times New Roman;sans-serif"/>
          <w:b w:val="false"/>
          <w:color w:val="000000"/>
          <w:sz w:val="20"/>
        </w:rPr>
        <w:t>. This ASU provides updated guidance on accounting for the formation of joint ventures. This ASU is effective prospectively for joint ventures formed on or after January 1, 2025. The Company does not expect it to have a material impact on its Consolidated Financial Statements.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Segment Reporting</w:t>
      </w:r>
      <w:r>
        <w:rPr>
          <w:color w:val="000000"/>
        </w:rPr>
        <w:t xml:space="preserve"> </w:t>
      </w:r>
      <w:r>
        <w:rPr>
          <w:rFonts w:ascii="Times New Roman;sans-serif" w:hAnsi="Times New Roman;sans-serif"/>
          <w:b w:val="false"/>
          <w:color w:val="000000"/>
          <w:sz w:val="20"/>
        </w:rPr>
        <w:t xml:space="preserve">- In November 2023, the FASB issued ASU 2023-07, </w:t>
      </w:r>
      <w:r>
        <w:rPr>
          <w:rFonts w:ascii="Times New Roman;sans-serif" w:hAnsi="Times New Roman;sans-serif"/>
          <w:b w:val="false"/>
          <w:i/>
          <w:color w:val="000000"/>
          <w:sz w:val="20"/>
        </w:rPr>
        <w:t>Segment Reporting (Topic 280)</w:t>
      </w:r>
      <w:r>
        <w:rPr>
          <w:rFonts w:ascii="Times New Roman;sans-serif" w:hAnsi="Times New Roman;sans-serif"/>
          <w:b w:val="false"/>
          <w:color w:val="000000"/>
          <w:sz w:val="20"/>
        </w:rPr>
        <w:t>. This ASU requires incremental disclosures related to a public entity’s reportable segments. It aims to provide financial statement users with more disaggregated information, specifically, significant expenses for each reportable segment. This ASU is effective for periods beginning after December 15, 2023. The Company does not expect it to have a material impact on its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Intangibles—Goodwill and Other—Crypto Assets</w:t>
      </w:r>
      <w:r>
        <w:rPr>
          <w:color w:val="000000"/>
        </w:rPr>
        <w:t xml:space="preserve"> </w:t>
      </w:r>
      <w:r>
        <w:rPr>
          <w:rFonts w:ascii="Times New Roman;sans-serif" w:hAnsi="Times New Roman;sans-serif"/>
          <w:b w:val="false"/>
          <w:color w:val="000000"/>
          <w:sz w:val="20"/>
        </w:rPr>
        <w:t xml:space="preserve">- In December 2023, the FASB issued ASU 2023-08, </w:t>
      </w:r>
      <w:r>
        <w:rPr>
          <w:rFonts w:ascii="Times New Roman;sans-serif" w:hAnsi="Times New Roman;sans-serif"/>
          <w:b w:val="false"/>
          <w:i/>
          <w:color w:val="000000"/>
          <w:sz w:val="20"/>
        </w:rPr>
        <w:t>Intangibles—Goodwill and Other—Crypto Assets (Subtopic 350-60)</w:t>
      </w:r>
      <w:r>
        <w:rPr>
          <w:rFonts w:ascii="Times New Roman;sans-serif" w:hAnsi="Times New Roman;sans-serif"/>
          <w:b w:val="false"/>
          <w:color w:val="000000"/>
          <w:sz w:val="20"/>
        </w:rPr>
        <w:t>. This ASU requires measurement of in-scope crypto assets at fair value and provides updated guidance on presentation and disclosure requirements for crypto assets. This ASU is effective for periods beginning after December 15, 2024. The Company is currently evaluating the impact of this ASU but does not expect it to have a material impact on its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Income Taxes</w:t>
      </w:r>
      <w:r>
        <w:rPr>
          <w:color w:val="000000"/>
        </w:rPr>
        <w:t xml:space="preserve"> </w:t>
      </w:r>
      <w:r>
        <w:rPr>
          <w:rFonts w:ascii="Times New Roman;sans-serif" w:hAnsi="Times New Roman;sans-serif"/>
          <w:b w:val="false"/>
          <w:color w:val="000000"/>
          <w:sz w:val="20"/>
        </w:rPr>
        <w:t xml:space="preserve">- In December 2023, the FASB issued ASU 2023-09, </w:t>
      </w:r>
      <w:r>
        <w:rPr>
          <w:rFonts w:ascii="Times New Roman;sans-serif" w:hAnsi="Times New Roman;sans-serif"/>
          <w:b w:val="false"/>
          <w:i/>
          <w:color w:val="000000"/>
          <w:sz w:val="20"/>
        </w:rPr>
        <w:t>Income Taxes (Topic 740)</w:t>
      </w:r>
      <w:r>
        <w:rPr>
          <w:rFonts w:ascii="Times New Roman;sans-serif" w:hAnsi="Times New Roman;sans-serif"/>
          <w:b w:val="false"/>
          <w:color w:val="000000"/>
          <w:sz w:val="20"/>
        </w:rPr>
        <w:t>. This ASU requires disclosure of additional information on effective tax rate reconciliation and income taxes paid. This ASU is effective for periods beginning after December 15, 2024. The Company is currently evaluating the impact of this ASU but does not expect it to have a material impact on its Consolidated Financial Statements and related disclosures.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3. Earnings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contains a reconciliation of Net income before income taxes and noncontrolling interest to Net income available for common stockholders:</w:t>
      </w:r>
    </w:p>
    <w:tbl>
      <w:tblPr>
        <w:tblW w:w="8589" w:type="dxa"/>
        <w:jc w:val="center"/>
        <w:tblInd w:w="0" w:type="dxa"/>
        <w:tblLayout w:type="fixed"/>
        <w:tblCellMar>
          <w:top w:w="28" w:type="dxa"/>
          <w:left w:w="28" w:type="dxa"/>
          <w:bottom w:w="28" w:type="dxa"/>
          <w:right w:w="28" w:type="dxa"/>
        </w:tblCellMar>
      </w:tblPr>
      <w:tblGrid>
        <w:gridCol w:w="1448"/>
        <w:gridCol w:w="1271"/>
        <w:gridCol w:w="1285"/>
        <w:gridCol w:w="109"/>
        <w:gridCol w:w="109"/>
        <w:gridCol w:w="109"/>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996,904 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476,878 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of basic and diluted earnings per share is presented below:</w:t>
      </w:r>
    </w:p>
    <w:tbl>
      <w:tblPr>
        <w:tblW w:w="10205" w:type="dxa"/>
        <w:jc w:val="center"/>
        <w:tblInd w:w="0" w:type="dxa"/>
        <w:tblLayout w:type="fixed"/>
        <w:tblCellMar>
          <w:top w:w="28" w:type="dxa"/>
          <w:left w:w="28" w:type="dxa"/>
          <w:bottom w:w="28" w:type="dxa"/>
          <w:right w:w="28" w:type="dxa"/>
        </w:tblCellMar>
      </w:tblPr>
      <w:tblGrid>
        <w:gridCol w:w="1939"/>
        <w:gridCol w:w="1706"/>
        <w:gridCol w:w="1707"/>
        <w:gridCol w:w="109"/>
        <w:gridCol w:w="109"/>
        <w:gridCol w:w="109"/>
        <w:gridCol w:w="109"/>
        <w:gridCol w:w="109"/>
        <w:gridCol w:w="109"/>
        <w:gridCol w:w="109"/>
        <w:gridCol w:w="202"/>
        <w:gridCol w:w="759"/>
        <w:gridCol w:w="109"/>
        <w:gridCol w:w="109"/>
        <w:gridCol w:w="109"/>
        <w:gridCol w:w="109"/>
        <w:gridCol w:w="221"/>
        <w:gridCol w:w="830"/>
        <w:gridCol w:w="109"/>
        <w:gridCol w:w="109"/>
        <w:gridCol w:w="109"/>
        <w:gridCol w:w="109"/>
        <w:gridCol w:w="221"/>
        <w:gridCol w:w="830"/>
        <w:gridCol w:w="155"/>
      </w:tblGrid>
      <w:tr>
        <w:trPr/>
        <w:tc>
          <w:tcPr>
            <w:tcW w:w="193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533" w:type="dxa"/>
            <w:gridSpan w:val="6"/>
            <w:tcBorders/>
          </w:tcPr>
          <w:p>
            <w:pPr>
              <w:pStyle w:val="TableContents"/>
              <w:bidi w:val="0"/>
              <w:spacing w:before="0" w:after="283"/>
              <w:jc w:val="left"/>
              <w:rPr>
                <w:sz w:val="4"/>
                <w:szCs w:val="4"/>
              </w:rPr>
            </w:pPr>
            <w:r>
              <w:rPr>
                <w:sz w:val="4"/>
                <w:szCs w:val="4"/>
              </w:rPr>
            </w:r>
          </w:p>
        </w:tc>
      </w:tr>
      <w:tr>
        <w:trPr/>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share 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476,878 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Dividends and undistributed earnings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 net of dividends and undistributed earnings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463,204 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94,076,165 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103,997,767 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117,339,539 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95"/>
        <w:gridCol w:w="1667"/>
        <w:gridCol w:w="1669"/>
        <w:gridCol w:w="116"/>
        <w:gridCol w:w="116"/>
        <w:gridCol w:w="116"/>
        <w:gridCol w:w="116"/>
        <w:gridCol w:w="116"/>
        <w:gridCol w:w="116"/>
        <w:gridCol w:w="116"/>
        <w:gridCol w:w="215"/>
        <w:gridCol w:w="809"/>
        <w:gridCol w:w="116"/>
        <w:gridCol w:w="109"/>
        <w:gridCol w:w="109"/>
        <w:gridCol w:w="109"/>
        <w:gridCol w:w="221"/>
        <w:gridCol w:w="830"/>
        <w:gridCol w:w="109"/>
        <w:gridCol w:w="109"/>
        <w:gridCol w:w="109"/>
        <w:gridCol w:w="109"/>
        <w:gridCol w:w="221"/>
        <w:gridCol w:w="830"/>
        <w:gridCol w:w="157"/>
      </w:tblGrid>
      <w:tr>
        <w:trPr/>
        <w:tc>
          <w:tcPr>
            <w:tcW w:w="1895"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5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535" w:type="dxa"/>
            <w:gridSpan w:val="6"/>
            <w:tcBorders/>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share or per share data)</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earnings per share:</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 net of dividends and undistributed earnings allocated to participating securities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463,204 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shares of common stock outstanding:</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Issued and outstanding</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94,076,165 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103,997,767 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117,339,539 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Issuable pursuant to Amended and Restated 2015 Management Incentive Plan</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1,084,389 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94,076,165 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104,422,443 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118,423,928 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earnings per share (1)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510" w:type="dxa"/>
            <w:gridSpan w:val="18"/>
            <w:tcBorders/>
          </w:tcPr>
          <w:p>
            <w:pPr>
              <w:pStyle w:val="TableContents"/>
              <w:bidi w:val="0"/>
              <w:spacing w:before="0" w:after="283"/>
              <w:jc w:val="left"/>
              <w:rPr>
                <w:sz w:val="4"/>
                <w:szCs w:val="4"/>
              </w:rPr>
            </w:pPr>
            <w:r>
              <w:rPr>
                <w:sz w:val="4"/>
                <w:szCs w:val="4"/>
              </w:rPr>
            </w:r>
          </w:p>
        </w:tc>
      </w:tr>
      <w:tr>
        <w:trPr/>
        <w:tc>
          <w:tcPr>
            <w:tcW w:w="7183" w:type="dxa"/>
            <w:gridSpan w:val="1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Excluded from the computation of diluted Earnings per share were 37,274 unexercised stock options for the year ended December 31, 2023 because inclusion of the options would have been anti-dilutive.</w:t>
            </w:r>
          </w:p>
        </w:tc>
        <w:tc>
          <w:tcPr>
            <w:tcW w:w="3022" w:type="dxa"/>
            <w:gridSpan w:val="12"/>
            <w:tcBorders/>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Tax Receivable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IPO and the Reorganization Transactions, the Company entered into tax receivable agreements (“TRA”) to make payments to certain pre-IPO equity 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 membership interests for Class A Common Stock or Class B common stock, par value $0.00001 per share (the “Class B Common Stock”), (an “Exchange”), and payments made under the tax receivable agreements. An Exchange during the year will give rise to favorable tax attributes that may generate cash tax savings specific to the Exchange to be realized over a specific period of time (generally 15 years). At each Exchange, management estimates the Company’s cumulative TRA obligations to be reported on the Consolidated Statements of Financial Condition, which amounted to $216.5 million and $238.8 million as of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2023 and December 31, 2022, respectively. The tax attributes are computed as the difference between the Company's basis in the partnership interest (“outside basis”) as compared to the Company’s share of the adjusted tax basis of partnership property (“inside basis”) at the time of each Exchange. The computation of inside basis requires management to make judgments in estimating the components included in the inside basis as of the date of the Exchange (i.e., cash received by the Company on hypothetical sale of assets, allocation of gain/loss to the Company at the time of the Exchange taking into account complex partnership tax rules). In addition, management estimates the period of time that may generate cash tax savings of such tax attributes and the realizability of the tax attributes. Payments will occur only after the filing of the U.S. federal and state income tax returns and realization of the cash tax savings from the favorable tax attributes. The Company made its first payment of $7.0 million in February 2017, and subsequent payments of $12.4 million in September 2018, $13.3 million in March 2020, $16.5 million in April 2021, $21.3 million in March 2022, and $23.3 million in April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(i) the purchase of equity interests in Virtu Financial from certain Virtu Members in connection with the Reorganization Transactions, (ii) the purchase of non-voting common interest units in Virtu Financial (the “Virtu Financial Units”) (along with the corresponding shares of Class C common stock, par value $0.00001 per share (the “Class C Common Stock”)) from certain of the Virtu Members in connection with the IPO,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November 2015 (the “November 2015 Secondary Offering”) and September 2016 (the “September 2016 Secondary Offering”), and (iv) the purchase of Virtu Financial Units (along with corresponding shares of the Company’s Class D common stock, par value $0.00001 per share (the “Class D Common Stock”) in connection with the May 2018 Secondary Offering (defined below) and the May 2019 Secondary Offering (defined below, and, together with the November 2015 Secondary Offering, the September 2016 Secondary Offering, and the May 2018 Secondary Offering, the “Secondary Offerings”), payments to certain Virtu Members in respect of the purchases are expected to range from approximately $0.1 million to $22.1 million per year over the next 15 years.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December 31, 2022, the Company’s remaining deferred tax assets that relate to the matters described above were approximately $135.7 million and $162.1 million, respectively, and the Company’s liabilities over the next 15 years pursuant to the tax receivable agreements were approximately $216.5 million and $238.8 million for December 31, 2023 and December 31, 2022, respectively. The amounts recorded as of December 31, 2023 and December 31, 2022 are based on best estimates available at the respective dates and may be subject to change after the filing of the Company’s U.S. federal and state income tax returns for the years in which tax savings were realized.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Consolidated Statements of Comprehensive Income.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segments: (i) Market Making; and (ii) Execution Services; and one non-operating segment: Corporate. As of December 31, 2023 and December 31, 2022, the Company’s total amount of goodwill recorded was $1,148.9 million. No goodwill impairment was recognized during the years ended December 31, 2023 and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details of goodwill by segment as of December 31, 2023 and December 31, 2022:</w:t>
      </w:r>
    </w:p>
    <w:tbl>
      <w:tblPr>
        <w:tblW w:w="7944" w:type="dxa"/>
        <w:jc w:val="center"/>
        <w:tblInd w:w="0" w:type="dxa"/>
        <w:tblLayout w:type="fixed"/>
        <w:tblCellMar>
          <w:top w:w="28" w:type="dxa"/>
          <w:left w:w="28" w:type="dxa"/>
          <w:bottom w:w="28" w:type="dxa"/>
          <w:right w:w="28" w:type="dxa"/>
        </w:tblCellMar>
      </w:tblPr>
      <w:tblGrid>
        <w:gridCol w:w="667"/>
        <w:gridCol w:w="587"/>
        <w:gridCol w:w="591"/>
        <w:gridCol w:w="109"/>
        <w:gridCol w:w="109"/>
        <w:gridCol w:w="109"/>
        <w:gridCol w:w="234"/>
        <w:gridCol w:w="880"/>
        <w:gridCol w:w="130"/>
        <w:gridCol w:w="109"/>
        <w:gridCol w:w="109"/>
        <w:gridCol w:w="109"/>
        <w:gridCol w:w="274"/>
        <w:gridCol w:w="1029"/>
        <w:gridCol w:w="152"/>
        <w:gridCol w:w="109"/>
        <w:gridCol w:w="109"/>
        <w:gridCol w:w="109"/>
        <w:gridCol w:w="240"/>
        <w:gridCol w:w="497"/>
        <w:gridCol w:w="134"/>
        <w:gridCol w:w="109"/>
        <w:gridCol w:w="109"/>
        <w:gridCol w:w="109"/>
        <w:gridCol w:w="196"/>
        <w:gridCol w:w="87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755,292 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393,634 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1,148,926 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the Company's total amount of intangible assets recorded was $257.5 million and $321.5 million, respectively. Acquired intangible assets consisted of the following as of December 31,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tbl>
      <w:tblPr>
        <w:tblW w:w="10162" w:type="dxa"/>
        <w:jc w:val="center"/>
        <w:tblInd w:w="0" w:type="dxa"/>
        <w:tblLayout w:type="fixed"/>
        <w:tblCellMar>
          <w:top w:w="28" w:type="dxa"/>
          <w:left w:w="28" w:type="dxa"/>
          <w:bottom w:w="28" w:type="dxa"/>
          <w:right w:w="28" w:type="dxa"/>
        </w:tblCellMar>
      </w:tblPr>
      <w:tblGrid>
        <w:gridCol w:w="736"/>
        <w:gridCol w:w="650"/>
        <w:gridCol w:w="653"/>
        <w:gridCol w:w="109"/>
        <w:gridCol w:w="109"/>
        <w:gridCol w:w="109"/>
        <w:gridCol w:w="361"/>
        <w:gridCol w:w="1358"/>
        <w:gridCol w:w="201"/>
        <w:gridCol w:w="109"/>
        <w:gridCol w:w="109"/>
        <w:gridCol w:w="109"/>
        <w:gridCol w:w="387"/>
        <w:gridCol w:w="1509"/>
        <w:gridCol w:w="219"/>
        <w:gridCol w:w="109"/>
        <w:gridCol w:w="109"/>
        <w:gridCol w:w="109"/>
        <w:gridCol w:w="330"/>
        <w:gridCol w:w="1241"/>
        <w:gridCol w:w="183"/>
        <w:gridCol w:w="109"/>
        <w:gridCol w:w="109"/>
        <w:gridCol w:w="109"/>
        <w:gridCol w:w="109"/>
        <w:gridCol w:w="109"/>
        <w:gridCol w:w="109"/>
        <w:gridCol w:w="109"/>
        <w:gridCol w:w="109"/>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Lives</w:t>
              <w:br/>
              <w:t>(Years) </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486,600 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(237,829)</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248,771 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(133,467)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Favorable occupancy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memberships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issuer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buyer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639,493 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(381,973)</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257,520 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28" w:type="dxa"/>
        <w:jc w:val="center"/>
        <w:tblInd w:w="0" w:type="dxa"/>
        <w:tblLayout w:type="fixed"/>
        <w:tblCellMar>
          <w:top w:w="28" w:type="dxa"/>
          <w:left w:w="28" w:type="dxa"/>
          <w:bottom w:w="28" w:type="dxa"/>
          <w:right w:w="28" w:type="dxa"/>
        </w:tblCellMar>
      </w:tblPr>
      <w:tblGrid>
        <w:gridCol w:w="736"/>
        <w:gridCol w:w="650"/>
        <w:gridCol w:w="653"/>
        <w:gridCol w:w="109"/>
        <w:gridCol w:w="109"/>
        <w:gridCol w:w="109"/>
        <w:gridCol w:w="353"/>
        <w:gridCol w:w="1326"/>
        <w:gridCol w:w="196"/>
        <w:gridCol w:w="109"/>
        <w:gridCol w:w="109"/>
        <w:gridCol w:w="109"/>
        <w:gridCol w:w="363"/>
        <w:gridCol w:w="1505"/>
        <w:gridCol w:w="202"/>
        <w:gridCol w:w="109"/>
        <w:gridCol w:w="109"/>
        <w:gridCol w:w="109"/>
        <w:gridCol w:w="322"/>
        <w:gridCol w:w="1209"/>
        <w:gridCol w:w="179"/>
        <w:gridCol w:w="109"/>
        <w:gridCol w:w="109"/>
        <w:gridCol w:w="109"/>
        <w:gridCol w:w="109"/>
        <w:gridCol w:w="109"/>
        <w:gridCol w:w="109"/>
        <w:gridCol w:w="109"/>
        <w:gridCol w:w="109"/>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Lives</w:t>
              <w:br/>
              <w:t>(Years)</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486,600 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(189,986)</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296,614 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(118,119)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Favorable occupancy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memberships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issuer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buyer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639,493 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(318,013)</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321,480 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relating to finite-lived intangible assets was approximately $64.0 million, $64.8 million, and $69.7 million for the years ended December 31, 2023, 2022, and 2021, respectively. This is included in Amortization of purchased intangibles and acquired capitalized software in the accompanying Consolidated Statements of Comprehensive Income.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to record amortization expense as follows over the next five subsequent years:</w:t>
      </w:r>
    </w:p>
    <w:p>
      <w:pPr>
        <w:pStyle w:val="TextBody"/>
        <w:bidi w:val="0"/>
        <w:spacing w:before="0" w:after="0"/>
        <w:jc w:val="left"/>
        <w:rPr/>
      </w:pPr>
      <w:r>
        <w:rPr/>
      </w:r>
    </w:p>
    <w:tbl>
      <w:tblPr>
        <w:tblW w:w="2463" w:type="dxa"/>
        <w:jc w:val="center"/>
        <w:tblInd w:w="0" w:type="dxa"/>
        <w:tblLayout w:type="fixed"/>
        <w:tblCellMar>
          <w:top w:w="28" w:type="dxa"/>
          <w:left w:w="28" w:type="dxa"/>
          <w:bottom w:w="28" w:type="dxa"/>
          <w:right w:w="28" w:type="dxa"/>
        </w:tblCellMar>
      </w:tblPr>
      <w:tblGrid>
        <w:gridCol w:w="412"/>
        <w:gridCol w:w="363"/>
        <w:gridCol w:w="365"/>
        <w:gridCol w:w="109"/>
        <w:gridCol w:w="109"/>
        <w:gridCol w:w="109"/>
        <w:gridCol w:w="196"/>
        <w:gridCol w:w="64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Receivables from/Payables to Broker-Dealers and Clearing Organizations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receivables from and payables to brokers-dealers and clearing organizations at December 31, 2023 and December 31, 2022:</w:t>
      </w:r>
    </w:p>
    <w:tbl>
      <w:tblPr>
        <w:tblW w:w="8302" w:type="dxa"/>
        <w:jc w:val="center"/>
        <w:tblInd w:w="0" w:type="dxa"/>
        <w:tblLayout w:type="fixed"/>
        <w:tblCellMar>
          <w:top w:w="28" w:type="dxa"/>
          <w:left w:w="28" w:type="dxa"/>
          <w:bottom w:w="28" w:type="dxa"/>
          <w:right w:w="28" w:type="dxa"/>
        </w:tblCellMar>
      </w:tblPr>
      <w:tblGrid>
        <w:gridCol w:w="1665"/>
        <w:gridCol w:w="1466"/>
        <w:gridCol w:w="1473"/>
        <w:gridCol w:w="109"/>
        <w:gridCol w:w="109"/>
        <w:gridCol w:w="109"/>
        <w:gridCol w:w="250"/>
        <w:gridCol w:w="1111"/>
        <w:gridCol w:w="139"/>
        <w:gridCol w:w="109"/>
        <w:gridCol w:w="109"/>
        <w:gridCol w:w="109"/>
        <w:gridCol w:w="248"/>
        <w:gridCol w:w="1102"/>
        <w:gridCol w:w="194"/>
      </w:tblGrid>
      <w:tr>
        <w:trPr/>
        <w:tc>
          <w:tcPr>
            <w:tcW w:w="166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from prime brokers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208,639 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560,111 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182,008 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equity with futures commission merchants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166,808 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Unsettled trades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87,145 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failed to deliver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149,747 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33,943 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737,724 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1,115,185 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prime brokers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780,310 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equity with futures commission merchants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(36,059)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Unsettled trades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313,875 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failed to receive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1,167,712 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273,843 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6"/>
        </w:rPr>
        <w:t>(1)   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sans-serif" w:hAnsi="Times New Roman;sans-serif"/>
          <w:b w:val="false"/>
          <w:color w:val="000000"/>
          <w:sz w:val="20"/>
        </w:rPr>
        <w: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Included as a deduction from “Due from prime brokers” and “Net equity with futures commission merchants” is the outstanding principal balance on all of the Company’s prime brokerage credit facilities (described in Note 8 “Borrowings”) of approximately $175.3 million and $212.9 million as of December 31, 2023 and December 31, 2022,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Collateralized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permitted to sell or repledge securities received as collateral and use these securities to secure repurchase agreements, enter into securities lending transactions or deliver these securities to counterparties or clearing organizations to cover short positions. At December 31, 2023 and December 31, 2022, substantially all of the securities received as collateral have been repledged.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collateralized transactions at December 31, 2023 and December 31, 2022 are summarized as follows:</w:t>
      </w:r>
    </w:p>
    <w:tbl>
      <w:tblPr>
        <w:tblW w:w="7088" w:type="dxa"/>
        <w:jc w:val="center"/>
        <w:tblInd w:w="0" w:type="dxa"/>
        <w:tblLayout w:type="fixed"/>
        <w:tblCellMar>
          <w:top w:w="28" w:type="dxa"/>
          <w:left w:w="28" w:type="dxa"/>
          <w:bottom w:w="28" w:type="dxa"/>
          <w:right w:w="28" w:type="dxa"/>
        </w:tblCellMar>
      </w:tblPr>
      <w:tblGrid>
        <w:gridCol w:w="1225"/>
        <w:gridCol w:w="1079"/>
        <w:gridCol w:w="1086"/>
        <w:gridCol w:w="109"/>
        <w:gridCol w:w="109"/>
        <w:gridCol w:w="109"/>
        <w:gridCol w:w="250"/>
        <w:gridCol w:w="1111"/>
        <w:gridCol w:w="139"/>
        <w:gridCol w:w="109"/>
        <w:gridCol w:w="109"/>
        <w:gridCol w:w="109"/>
        <w:gridCol w:w="248"/>
        <w:gridCol w:w="1102"/>
        <w:gridCol w:w="194"/>
      </w:tblGrid>
      <w:tr>
        <w:trPr/>
        <w:tc>
          <w:tcPr>
            <w:tcW w:w="122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Securities received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1,665,860 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1,148,238 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1,512,114 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336,849 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3,177,974 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1,485,087 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pledges qualified securities with clearing organizations to satisfy daily margin and clearing fund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owned and pledged, where the counterparty has the right to repledge, at December 31, 2023 and December 31, 2022 consisted of the following:</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tbl>
      <w:tblPr>
        <w:tblW w:w="5394" w:type="dxa"/>
        <w:jc w:val="center"/>
        <w:tblInd w:w="0" w:type="dxa"/>
        <w:tblLayout w:type="fixed"/>
        <w:tblCellMar>
          <w:top w:w="28" w:type="dxa"/>
          <w:left w:w="28" w:type="dxa"/>
          <w:bottom w:w="28" w:type="dxa"/>
          <w:right w:w="28" w:type="dxa"/>
        </w:tblCellMar>
      </w:tblPr>
      <w:tblGrid>
        <w:gridCol w:w="612"/>
        <w:gridCol w:w="540"/>
        <w:gridCol w:w="543"/>
        <w:gridCol w:w="109"/>
        <w:gridCol w:w="109"/>
        <w:gridCol w:w="109"/>
        <w:gridCol w:w="250"/>
        <w:gridCol w:w="1111"/>
        <w:gridCol w:w="139"/>
        <w:gridCol w:w="109"/>
        <w:gridCol w:w="109"/>
        <w:gridCol w:w="109"/>
        <w:gridCol w:w="279"/>
        <w:gridCol w:w="1047"/>
        <w:gridCol w:w="219"/>
      </w:tblGrid>
      <w:tr>
        <w:trPr/>
        <w:tc>
          <w:tcPr>
            <w:tcW w:w="6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1,222,559 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957,443 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1,230,859 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963,071 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Borrowings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Short-term Borrowings,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short-term borrowing balances outstanding, net of related debt issuance costs, with each described in further detail below.</w:t>
      </w:r>
    </w:p>
    <w:tbl>
      <w:tblPr>
        <w:tblW w:w="9260" w:type="dxa"/>
        <w:jc w:val="center"/>
        <w:tblInd w:w="0" w:type="dxa"/>
        <w:tblLayout w:type="fixed"/>
        <w:tblCellMar>
          <w:top w:w="28" w:type="dxa"/>
          <w:left w:w="28" w:type="dxa"/>
          <w:bottom w:w="28" w:type="dxa"/>
          <w:right w:w="28" w:type="dxa"/>
        </w:tblCellMar>
      </w:tblPr>
      <w:tblGrid>
        <w:gridCol w:w="770"/>
        <w:gridCol w:w="679"/>
        <w:gridCol w:w="681"/>
        <w:gridCol w:w="109"/>
        <w:gridCol w:w="109"/>
        <w:gridCol w:w="109"/>
        <w:gridCol w:w="504"/>
        <w:gridCol w:w="1044"/>
        <w:gridCol w:w="282"/>
        <w:gridCol w:w="109"/>
        <w:gridCol w:w="109"/>
        <w:gridCol w:w="109"/>
        <w:gridCol w:w="595"/>
        <w:gridCol w:w="1231"/>
        <w:gridCol w:w="333"/>
        <w:gridCol w:w="109"/>
        <w:gridCol w:w="109"/>
        <w:gridCol w:w="109"/>
        <w:gridCol w:w="559"/>
        <w:gridCol w:w="1159"/>
        <w:gridCol w:w="442"/>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Borrowings, net</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93" w:type="dxa"/>
        <w:jc w:val="center"/>
        <w:tblInd w:w="0" w:type="dxa"/>
        <w:tblLayout w:type="fixed"/>
        <w:tblCellMar>
          <w:top w:w="28" w:type="dxa"/>
          <w:left w:w="28" w:type="dxa"/>
          <w:bottom w:w="28" w:type="dxa"/>
          <w:right w:w="28" w:type="dxa"/>
        </w:tblCellMar>
      </w:tblPr>
      <w:tblGrid>
        <w:gridCol w:w="602"/>
        <w:gridCol w:w="530"/>
        <w:gridCol w:w="532"/>
        <w:gridCol w:w="109"/>
        <w:gridCol w:w="109"/>
        <w:gridCol w:w="109"/>
        <w:gridCol w:w="416"/>
        <w:gridCol w:w="1181"/>
        <w:gridCol w:w="232"/>
        <w:gridCol w:w="109"/>
        <w:gridCol w:w="109"/>
        <w:gridCol w:w="109"/>
        <w:gridCol w:w="595"/>
        <w:gridCol w:w="1231"/>
        <w:gridCol w:w="333"/>
        <w:gridCol w:w="109"/>
        <w:gridCol w:w="109"/>
        <w:gridCol w:w="109"/>
        <w:gridCol w:w="467"/>
        <w:gridCol w:w="1324"/>
        <w:gridCol w:w="369"/>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Borrowings, net</w:t>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bank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Broker-Dealer Credit Facilities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Secured Overnight Financing Rate (“SOFR”) or base rate plus 1.25% per annum. Borrowing Base B Loans are subject to a sublimit of $300 million and bear interest at the adjusted SOFR or base rate plus 2.50% per annum. A commitment fee of 0.50% per annum on the average daily unused portion of this facility is payable quarterly in arrears.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25, 2022, Virtu Financial Singapore Pte. Ltd. entered into a revolving credit facility with a financial institution (the "Overdraft Facility") to provide a source of short-term financing. The facility has an aggregate borrowing limit of $10 million, and bears interest at the adjusted SOFR or base rate plus 3.5% per annum.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20, 2020, VAL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(the “Founder Member Loan Term”). The Founder Member Loan Facility Term expired as of September 20, 2020 without VAL having borrowed any Founder Member Loans at any time. The Founder Member is an affiliate of Mr. Vincent Viola, the Company’s founder and Chairman Emeritus. Upon the execution of and in consideration for the Lender’s (as defined in the Founder Member Loan Facility) commitments under the Founder Member Loan Facility, the Company delivered to the Founder Member a warrant to purchase shares of the Company’s Class A Common Stock. Terms of the warrant are set forth in further detail in Note 17 “Capital Structure”.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broker-dealer credit facilities' carrying values, net of unamortized debt issuance costs, where applicable. These balances are included within Short-term borrowings on the Consolidated Statements of Financial Condition.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30"/>
        <w:gridCol w:w="555"/>
        <w:gridCol w:w="560"/>
        <w:gridCol w:w="109"/>
        <w:gridCol w:w="109"/>
        <w:gridCol w:w="109"/>
        <w:gridCol w:w="286"/>
        <w:gridCol w:w="286"/>
        <w:gridCol w:w="288"/>
        <w:gridCol w:w="109"/>
        <w:gridCol w:w="109"/>
        <w:gridCol w:w="109"/>
        <w:gridCol w:w="229"/>
        <w:gridCol w:w="1018"/>
        <w:gridCol w:w="127"/>
        <w:gridCol w:w="109"/>
        <w:gridCol w:w="109"/>
        <w:gridCol w:w="109"/>
        <w:gridCol w:w="394"/>
        <w:gridCol w:w="817"/>
        <w:gridCol w:w="220"/>
        <w:gridCol w:w="109"/>
        <w:gridCol w:w="109"/>
        <w:gridCol w:w="109"/>
        <w:gridCol w:w="408"/>
        <w:gridCol w:w="844"/>
        <w:gridCol w:w="228"/>
        <w:gridCol w:w="109"/>
        <w:gridCol w:w="109"/>
        <w:gridCol w:w="109"/>
        <w:gridCol w:w="432"/>
        <w:gridCol w:w="897"/>
        <w:gridCol w:w="351"/>
      </w:tblGrid>
      <w:tr>
        <w:trPr/>
        <w:tc>
          <w:tcPr>
            <w:tcW w:w="63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2023</w:t>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 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Uncommitted facility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Committed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Overdraft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1,060,000 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$2.3 million of deferred debt issuance costs are included within Other assets on the Consolidated Statement of Financial Condition</w:t>
            </w:r>
          </w:p>
        </w:tc>
      </w:tr>
    </w:tbl>
    <w:tbl>
      <w:tblPr>
        <w:tblW w:w="10205" w:type="dxa"/>
        <w:jc w:val="center"/>
        <w:tblInd w:w="0" w:type="dxa"/>
        <w:tblLayout w:type="fixed"/>
        <w:tblCellMar>
          <w:top w:w="28" w:type="dxa"/>
          <w:left w:w="28" w:type="dxa"/>
          <w:bottom w:w="28" w:type="dxa"/>
          <w:right w:w="28" w:type="dxa"/>
        </w:tblCellMar>
      </w:tblPr>
      <w:tblGrid>
        <w:gridCol w:w="630"/>
        <w:gridCol w:w="555"/>
        <w:gridCol w:w="560"/>
        <w:gridCol w:w="109"/>
        <w:gridCol w:w="109"/>
        <w:gridCol w:w="109"/>
        <w:gridCol w:w="286"/>
        <w:gridCol w:w="286"/>
        <w:gridCol w:w="288"/>
        <w:gridCol w:w="109"/>
        <w:gridCol w:w="109"/>
        <w:gridCol w:w="109"/>
        <w:gridCol w:w="229"/>
        <w:gridCol w:w="1018"/>
        <w:gridCol w:w="127"/>
        <w:gridCol w:w="109"/>
        <w:gridCol w:w="109"/>
        <w:gridCol w:w="109"/>
        <w:gridCol w:w="394"/>
        <w:gridCol w:w="817"/>
        <w:gridCol w:w="220"/>
        <w:gridCol w:w="109"/>
        <w:gridCol w:w="109"/>
        <w:gridCol w:w="109"/>
        <w:gridCol w:w="408"/>
        <w:gridCol w:w="844"/>
        <w:gridCol w:w="228"/>
        <w:gridCol w:w="109"/>
        <w:gridCol w:w="109"/>
        <w:gridCol w:w="109"/>
        <w:gridCol w:w="432"/>
        <w:gridCol w:w="897"/>
        <w:gridCol w:w="351"/>
      </w:tblGrid>
      <w:tr>
        <w:trPr/>
        <w:tc>
          <w:tcPr>
            <w:tcW w:w="63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2022</w:t>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 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Uncommitted facility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Committed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Overdraft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1,060,000 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$0.2 million of deferred debt issuance costs are included within Other assets on the Consolidated Statement of Financial Condition.</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interest expense for the broker-dealer facilities. Interest expense is included within Interest and dividends expense in the accompanying Consolidated Statements of Comprehensive Income.</w:t>
      </w:r>
    </w:p>
    <w:p>
      <w:pPr>
        <w:pStyle w:val="TextBody"/>
        <w:bidi w:val="0"/>
        <w:spacing w:before="0" w:after="0"/>
        <w:ind w:left="0" w:right="0" w:firstLine="720"/>
        <w:jc w:val="left"/>
        <w:rPr/>
      </w:pPr>
      <w:r>
        <w:rPr/>
      </w:r>
    </w:p>
    <w:tbl>
      <w:tblPr>
        <w:tblW w:w="6355" w:type="dxa"/>
        <w:jc w:val="center"/>
        <w:tblInd w:w="0" w:type="dxa"/>
        <w:tblLayout w:type="fixed"/>
        <w:tblCellMar>
          <w:top w:w="28" w:type="dxa"/>
          <w:left w:w="28" w:type="dxa"/>
          <w:bottom w:w="28" w:type="dxa"/>
          <w:right w:w="28" w:type="dxa"/>
        </w:tblCellMar>
      </w:tblPr>
      <w:tblGrid>
        <w:gridCol w:w="834"/>
        <w:gridCol w:w="735"/>
        <w:gridCol w:w="741"/>
        <w:gridCol w:w="109"/>
        <w:gridCol w:w="109"/>
        <w:gridCol w:w="109"/>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Uncommitted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Committed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Overdraft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Short-Term Bank Loans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international securities clearance and settlement activities are funded with operating cash or with short-term bank loans in the form of overdraft facilities. At December 31, 2023, there was no balance associated with international settlement activities outstanding under these facilities. At December 31, 2022, there was $3.9 million associated with international settlement activities outstanding under these facilities at a weighted average interest rate of approximately 3.8%. These short-term bank loan balances are included within Short-term borrowings on the Consolidated Statements of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Prime Brokerage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pStyle w:val="TextBody"/>
        <w:bidi w:val="0"/>
        <w:spacing w:before="0" w:after="0"/>
        <w:ind w:left="0" w:right="0" w:firstLine="720"/>
        <w:jc w:val="left"/>
        <w:rPr/>
      </w:pPr>
      <w:r>
        <w:rPr/>
      </w:r>
    </w:p>
    <w:tbl>
      <w:tblPr>
        <w:tblW w:w="7187" w:type="dxa"/>
        <w:jc w:val="center"/>
        <w:tblInd w:w="0" w:type="dxa"/>
        <w:tblLayout w:type="fixed"/>
        <w:tblCellMar>
          <w:top w:w="28" w:type="dxa"/>
          <w:left w:w="28" w:type="dxa"/>
          <w:bottom w:w="28" w:type="dxa"/>
          <w:right w:w="28" w:type="dxa"/>
        </w:tblCellMar>
      </w:tblPr>
      <w:tblGrid>
        <w:gridCol w:w="949"/>
        <w:gridCol w:w="836"/>
        <w:gridCol w:w="840"/>
        <w:gridCol w:w="109"/>
        <w:gridCol w:w="109"/>
        <w:gridCol w:w="109"/>
        <w:gridCol w:w="484"/>
        <w:gridCol w:w="484"/>
        <w:gridCol w:w="486"/>
        <w:gridCol w:w="109"/>
        <w:gridCol w:w="109"/>
        <w:gridCol w:w="109"/>
        <w:gridCol w:w="196"/>
        <w:gridCol w:w="736"/>
        <w:gridCol w:w="109"/>
        <w:gridCol w:w="109"/>
        <w:gridCol w:w="109"/>
        <w:gridCol w:w="109"/>
        <w:gridCol w:w="196"/>
        <w:gridCol w:w="73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2023</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w:t>
              <w:br/>
              <w:t>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w:t>
              <w:br/>
              <w:t>Outstanding</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Prime Brokerage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Prime brokerage credit facilities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87" w:type="dxa"/>
        <w:jc w:val="center"/>
        <w:tblInd w:w="0" w:type="dxa"/>
        <w:tblLayout w:type="fixed"/>
        <w:tblCellMar>
          <w:top w:w="28" w:type="dxa"/>
          <w:left w:w="28" w:type="dxa"/>
          <w:bottom w:w="28" w:type="dxa"/>
          <w:right w:w="28" w:type="dxa"/>
        </w:tblCellMar>
      </w:tblPr>
      <w:tblGrid>
        <w:gridCol w:w="949"/>
        <w:gridCol w:w="836"/>
        <w:gridCol w:w="840"/>
        <w:gridCol w:w="109"/>
        <w:gridCol w:w="109"/>
        <w:gridCol w:w="109"/>
        <w:gridCol w:w="484"/>
        <w:gridCol w:w="484"/>
        <w:gridCol w:w="486"/>
        <w:gridCol w:w="109"/>
        <w:gridCol w:w="109"/>
        <w:gridCol w:w="109"/>
        <w:gridCol w:w="196"/>
        <w:gridCol w:w="736"/>
        <w:gridCol w:w="109"/>
        <w:gridCol w:w="109"/>
        <w:gridCol w:w="109"/>
        <w:gridCol w:w="109"/>
        <w:gridCol w:w="196"/>
        <w:gridCol w:w="73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2022</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w:t>
              <w:br/>
              <w:t>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w:t>
              <w:br/>
              <w:t>Outstanding</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Prime Brokerage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Prime brokerage credit facilities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Outstanding borrowings are included with Receivables from/Payables to broker-dealers and clearing organizations within the Consolidated Statements of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expense in relation to the facilities was $13.1 million, $9.3 million, and $4.6 million for the years ended December 31, 2023, 2022, and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Long-Term Borrowings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long-term borrowings, net of unamortized discount and debt issuance costs, where applicable:</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541"/>
        <w:gridCol w:w="477"/>
        <w:gridCol w:w="479"/>
        <w:gridCol w:w="109"/>
        <w:gridCol w:w="109"/>
        <w:gridCol w:w="109"/>
        <w:gridCol w:w="287"/>
        <w:gridCol w:w="287"/>
        <w:gridCol w:w="289"/>
        <w:gridCol w:w="109"/>
        <w:gridCol w:w="109"/>
        <w:gridCol w:w="109"/>
        <w:gridCol w:w="220"/>
        <w:gridCol w:w="220"/>
        <w:gridCol w:w="221"/>
        <w:gridCol w:w="109"/>
        <w:gridCol w:w="109"/>
        <w:gridCol w:w="109"/>
        <w:gridCol w:w="226"/>
        <w:gridCol w:w="1008"/>
        <w:gridCol w:w="126"/>
        <w:gridCol w:w="109"/>
        <w:gridCol w:w="109"/>
        <w:gridCol w:w="109"/>
        <w:gridCol w:w="196"/>
        <w:gridCol w:w="591"/>
        <w:gridCol w:w="109"/>
        <w:gridCol w:w="109"/>
        <w:gridCol w:w="109"/>
        <w:gridCol w:w="109"/>
        <w:gridCol w:w="271"/>
        <w:gridCol w:w="959"/>
        <w:gridCol w:w="150"/>
        <w:gridCol w:w="109"/>
        <w:gridCol w:w="109"/>
        <w:gridCol w:w="109"/>
        <w:gridCol w:w="253"/>
        <w:gridCol w:w="1126"/>
        <w:gridCol w:w="207"/>
      </w:tblGrid>
      <w:tr>
        <w:trPr/>
        <w:tc>
          <w:tcPr>
            <w:tcW w:w="54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2023</w:t>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First Lien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(21,504)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1,702,389 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SBI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24,816 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1,751,816 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(21,504)</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1,727,205 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41"/>
        <w:gridCol w:w="477"/>
        <w:gridCol w:w="479"/>
        <w:gridCol w:w="109"/>
        <w:gridCol w:w="109"/>
        <w:gridCol w:w="109"/>
        <w:gridCol w:w="287"/>
        <w:gridCol w:w="287"/>
        <w:gridCol w:w="289"/>
        <w:gridCol w:w="109"/>
        <w:gridCol w:w="109"/>
        <w:gridCol w:w="109"/>
        <w:gridCol w:w="220"/>
        <w:gridCol w:w="220"/>
        <w:gridCol w:w="221"/>
        <w:gridCol w:w="109"/>
        <w:gridCol w:w="109"/>
        <w:gridCol w:w="109"/>
        <w:gridCol w:w="226"/>
        <w:gridCol w:w="1008"/>
        <w:gridCol w:w="126"/>
        <w:gridCol w:w="109"/>
        <w:gridCol w:w="109"/>
        <w:gridCol w:w="109"/>
        <w:gridCol w:w="196"/>
        <w:gridCol w:w="591"/>
        <w:gridCol w:w="109"/>
        <w:gridCol w:w="109"/>
        <w:gridCol w:w="109"/>
        <w:gridCol w:w="109"/>
        <w:gridCol w:w="271"/>
        <w:gridCol w:w="959"/>
        <w:gridCol w:w="150"/>
        <w:gridCol w:w="109"/>
        <w:gridCol w:w="109"/>
        <w:gridCol w:w="109"/>
        <w:gridCol w:w="253"/>
        <w:gridCol w:w="1126"/>
        <w:gridCol w:w="207"/>
      </w:tblGrid>
      <w:tr>
        <w:trPr/>
        <w:tc>
          <w:tcPr>
            <w:tcW w:w="54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2022</w:t>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First Lien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(26,858)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1,769,261 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SBI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26,691 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1,826,693 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(26,860)</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1,795,952 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Credit Agreement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 term loan in an aggregate</w:t>
      </w:r>
      <w:r>
        <w:rPr>
          <w:color w:val="000000"/>
        </w:rPr>
        <w:t xml:space="preserve"> </w:t>
      </w:r>
      <w:r>
        <w:rPr>
          <w:rFonts w:ascii="Times New Roman;sans-serif" w:hAnsi="Times New Roman;sans-serif"/>
          <w:b w:val="false"/>
          <w:color w:val="000000"/>
          <w:sz w:val="20"/>
        </w:rPr>
        <w:t>principal</w:t>
      </w:r>
      <w:r>
        <w:rPr>
          <w:color w:val="000000"/>
        </w:rPr>
        <w:t xml:space="preserve"> </w:t>
      </w:r>
      <w:r>
        <w:rPr>
          <w:rFonts w:ascii="Times New Roman;sans-serif" w:hAnsi="Times New Roman;sans-serif"/>
          <w:b w:val="false"/>
          <w:color w:val="000000"/>
          <w:sz w:val="20"/>
        </w:rPr>
        <w:t>amount of $1,800.0 million, drawn in its entirety on the Credit Agreement Closing Date, the proceeds of which were used by VFH to repay all amounts outstanding under the previous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Credit Agreement, the term loans will mature on January 13, 2029. The term loans amortize in annual installments equal to 1.0% of the original aggregate principal amount of the term loans and the Company repaid $18.0 million on January 13, 2023. On December 12, 2023, the Company made a voluntary prepayment of $55.0 million, and the payment is applied toward subsequent annual amortization installments. The revolving commitments will terminate on January 13, 2025. As of December 31, 2023, $1,727 million was outstanding under the term loans, and there were no amounts outstanding under the first lien revolving facility.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In October 2019, the Company entered into a five-year $525 million floating-to-fixed interest rate swap agreement. In January 2020, the Company also entered into a five-year $1,000 million floating-to-fixed interest rate swap agreement. These two interest rate swaps met the criteria to be considered and were designated qualifying cash flow hedges under ASC 815 in the first quarter of 2020, and they effectively fixed interest payment obligations on $525.0 million and $1,000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 agreements to SOFR.</w:t>
      </w:r>
      <w:r>
        <w:rPr>
          <w:color w:val="000000"/>
        </w:rPr>
        <w:t xml:space="preserve"> </w:t>
      </w:r>
      <w:r>
        <w:rPr>
          <w:rFonts w:ascii="Times New Roman;sans-serif" w:hAnsi="Times New Roman;sans-serif"/>
          <w:b w:val="false"/>
          <w:color w:val="000000"/>
          <w:sz w:val="20"/>
        </w:rPr>
        <w:t>The effective fixed interest payment obligations remained at 4.5%, with respect to the earlier maturing swap arrangement, and 4.6% with respect to the later maturing swap arrangement.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Company terminated the two interest rate swap arrangements and received $55.8 million in proceeds from the counterparty. The Company therefore dedesignated those cash flow hedges under ASC 815, and the amounts in AOCI related to the terminated swaps are to be amortized through interest expense. The Company simultaneously entered into a two-year $1,525 million floating-to-fixed interest rate swap agreement with the same counterparty. The new interest rate swap met the criteria to be considered and was designated as a qualifying cash flow hedge under ASC 815 as of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and it effectively fixed interest payment obligations on $1,525 million of principal under the First Lien Term Loan Facility at rate of 7.5% through November 2025, based on the interest rates set forth in the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SBI Bonds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9 “Financial Assets and Liabilities”). The SBI Bonds are guaranteed by Virtu Financial. The SBI Bonds are subject to fluctuations on the Japanese Yen currency rates relative to the Company’s reporting currency (U.S. Dollar) with the changes reflected in Other, net in the Consolidated Statements of Comprehensive Income. In December 2022, the maturity of the SBI Bonds was extended to 2026. The principal balance was ¥3.5 billion ($24.8 million) as of December 31, 2023 and ¥3.5 billion ($26.7 million) as of December 31, 2022. The Company had a gain of $1.9 million, $4.0 million, and $3.2 million during the years ended December 31, 2023, 2022, and 2021, respectively, due to changes in foreign currency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aggregate future required minimum principal payments based on the terms of the long-term borrowings were as follows: </w:t>
      </w:r>
    </w:p>
    <w:p>
      <w:pPr>
        <w:pStyle w:val="TextBody"/>
        <w:bidi w:val="0"/>
        <w:spacing w:before="0" w:after="0"/>
        <w:ind w:left="0" w:right="0" w:firstLine="720"/>
        <w:jc w:val="left"/>
        <w:rPr/>
      </w:pPr>
      <w:r>
        <w:rPr/>
      </w:r>
    </w:p>
    <w:tbl>
      <w:tblPr>
        <w:tblW w:w="4781" w:type="dxa"/>
        <w:jc w:val="center"/>
        <w:tblInd w:w="0" w:type="dxa"/>
        <w:tblLayout w:type="fixed"/>
        <w:tblCellMar>
          <w:top w:w="28" w:type="dxa"/>
          <w:left w:w="28" w:type="dxa"/>
          <w:bottom w:w="28" w:type="dxa"/>
          <w:right w:w="28" w:type="dxa"/>
        </w:tblCellMar>
      </w:tblPr>
      <w:tblGrid>
        <w:gridCol w:w="1052"/>
        <w:gridCol w:w="926"/>
        <w:gridCol w:w="932"/>
        <w:gridCol w:w="109"/>
        <w:gridCol w:w="109"/>
        <w:gridCol w:w="109"/>
        <w:gridCol w:w="248"/>
        <w:gridCol w:w="1102"/>
        <w:gridCol w:w="194"/>
      </w:tblGrid>
      <w:tr>
        <w:trPr/>
        <w:tc>
          <w:tcPr>
            <w:tcW w:w="105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24,816 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principal of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1,751,816 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9. Financial Assets and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 Measured at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measurements for those items measured on a recurring basis are summarized below as of December 31, 2023:</w:t>
      </w:r>
    </w:p>
    <w:tbl>
      <w:tblPr>
        <w:tblW w:w="10205" w:type="dxa"/>
        <w:jc w:val="center"/>
        <w:tblInd w:w="0" w:type="dxa"/>
        <w:tblLayout w:type="fixed"/>
        <w:tblCellMar>
          <w:top w:w="28" w:type="dxa"/>
          <w:left w:w="28" w:type="dxa"/>
          <w:bottom w:w="28" w:type="dxa"/>
          <w:right w:w="28" w:type="dxa"/>
        </w:tblCellMar>
      </w:tblPr>
      <w:tblGrid>
        <w:gridCol w:w="536"/>
        <w:gridCol w:w="472"/>
        <w:gridCol w:w="475"/>
        <w:gridCol w:w="109"/>
        <w:gridCol w:w="109"/>
        <w:gridCol w:w="109"/>
        <w:gridCol w:w="270"/>
        <w:gridCol w:w="1200"/>
        <w:gridCol w:w="150"/>
        <w:gridCol w:w="109"/>
        <w:gridCol w:w="109"/>
        <w:gridCol w:w="109"/>
        <w:gridCol w:w="245"/>
        <w:gridCol w:w="1090"/>
        <w:gridCol w:w="136"/>
        <w:gridCol w:w="109"/>
        <w:gridCol w:w="109"/>
        <w:gridCol w:w="109"/>
        <w:gridCol w:w="279"/>
        <w:gridCol w:w="924"/>
        <w:gridCol w:w="157"/>
        <w:gridCol w:w="109"/>
        <w:gridCol w:w="109"/>
        <w:gridCol w:w="109"/>
        <w:gridCol w:w="244"/>
        <w:gridCol w:w="1006"/>
        <w:gridCol w:w="135"/>
        <w:gridCol w:w="109"/>
        <w:gridCol w:w="109"/>
        <w:gridCol w:w="109"/>
        <w:gridCol w:w="199"/>
        <w:gridCol w:w="888"/>
        <w:gridCol w:w="164"/>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and Cash Collateral Netting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w:t>
            </w:r>
          </w:p>
        </w:tc>
      </w:tr>
      <w:tr>
        <w:trPr/>
        <w:tc>
          <w:tcPr>
            <w:tcW w:w="1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710,699 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1,844,106 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2,554,805 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521,542 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1,775,177 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2,296,719 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1,232,097 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1,232,097 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377,279 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(354,698)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1,235,736 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5,246,714 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(354,698)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6,127,752 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pledged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871,237 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351,322 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1,222,559 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871,240 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359,619 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1,230,859 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84,521 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1,447,726 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1,165,091 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2,612,817 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1,891,556 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2,072,949 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1,358,522 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1,358,522 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339,085 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(336,311)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1,632,305 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4,775,358 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(336,311)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6,071,352 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7,661 </w:t>
            </w:r>
          </w:p>
        </w:tc>
        <w:tc>
          <w:tcPr>
            <w:tcW w:w="1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7,661 </w:t>
            </w:r>
          </w:p>
        </w:tc>
        <w:tc>
          <w:tcPr>
            <w:tcW w:w="16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measurements for those items measured on a recurring basis are summarized below as of December 31, 2022:</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39"/>
        <w:gridCol w:w="474"/>
        <w:gridCol w:w="477"/>
        <w:gridCol w:w="109"/>
        <w:gridCol w:w="109"/>
        <w:gridCol w:w="109"/>
        <w:gridCol w:w="269"/>
        <w:gridCol w:w="1198"/>
        <w:gridCol w:w="149"/>
        <w:gridCol w:w="109"/>
        <w:gridCol w:w="109"/>
        <w:gridCol w:w="109"/>
        <w:gridCol w:w="244"/>
        <w:gridCol w:w="1088"/>
        <w:gridCol w:w="136"/>
        <w:gridCol w:w="109"/>
        <w:gridCol w:w="109"/>
        <w:gridCol w:w="109"/>
        <w:gridCol w:w="279"/>
        <w:gridCol w:w="923"/>
        <w:gridCol w:w="157"/>
        <w:gridCol w:w="109"/>
        <w:gridCol w:w="109"/>
        <w:gridCol w:w="109"/>
        <w:gridCol w:w="243"/>
        <w:gridCol w:w="1005"/>
        <w:gridCol w:w="135"/>
        <w:gridCol w:w="109"/>
        <w:gridCol w:w="109"/>
        <w:gridCol w:w="109"/>
        <w:gridCol w:w="199"/>
        <w:gridCol w:w="888"/>
        <w:gridCol w:w="167"/>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and Cash Collateral Netting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w:t>
            </w:r>
          </w:p>
        </w:tc>
      </w:tr>
      <w:tr>
        <w:trPr/>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461,487 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1,545,116 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2,006,603 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251,708 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575,946 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827,654 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803,880 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803,880 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500,553 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(493,237)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718,446 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3,442,272 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(493,237)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3,667,481 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pledged as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552,641 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404,802 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957,443 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552,647 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410,424 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963,071 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78,965 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1,146,701 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1,016,893 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2,163,594 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147,418 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690,480 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1,183,394 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1,183,394 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1,298,008 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3,396,765 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4,196,974 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JNX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minority investment (the “JNX Investment”) in Japannext Co., Ltd. (“JNX”), formerly known as SBI Japannext Co., Ltd., a proprietary trading system based in Tokyo. In connection with the JNX Investment, the Company issued the SBI Bonds (as described in Note 8 “Borrowings”) and used the proceeds to partially finance the transaction. The JNX Investment is included within Level 3 of the fair value hierarchy. As of December 31, 2023 and December 31, 2022,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information on the valuation techniques, significant unobservable inputs and their ranges for the JNX Investment: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76"/>
        <w:gridCol w:w="419"/>
        <w:gridCol w:w="422"/>
        <w:gridCol w:w="109"/>
        <w:gridCol w:w="109"/>
        <w:gridCol w:w="109"/>
        <w:gridCol w:w="196"/>
        <w:gridCol w:w="646"/>
        <w:gridCol w:w="109"/>
        <w:gridCol w:w="109"/>
        <w:gridCol w:w="109"/>
        <w:gridCol w:w="109"/>
        <w:gridCol w:w="490"/>
        <w:gridCol w:w="481"/>
        <w:gridCol w:w="483"/>
        <w:gridCol w:w="109"/>
        <w:gridCol w:w="109"/>
        <w:gridCol w:w="109"/>
        <w:gridCol w:w="804"/>
        <w:gridCol w:w="804"/>
        <w:gridCol w:w="806"/>
        <w:gridCol w:w="109"/>
        <w:gridCol w:w="109"/>
        <w:gridCol w:w="109"/>
        <w:gridCol w:w="353"/>
        <w:gridCol w:w="343"/>
        <w:gridCol w:w="345"/>
        <w:gridCol w:w="109"/>
        <w:gridCol w:w="109"/>
        <w:gridCol w:w="109"/>
        <w:gridCol w:w="315"/>
        <w:gridCol w:w="293"/>
        <w:gridCol w:w="78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Discounted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revenue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 - 6.8%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15.6% - 15.6%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 enterprise value/ EBIDTA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8.7x - 17.8x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12.9x</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76"/>
        <w:gridCol w:w="419"/>
        <w:gridCol w:w="422"/>
        <w:gridCol w:w="109"/>
        <w:gridCol w:w="109"/>
        <w:gridCol w:w="109"/>
        <w:gridCol w:w="196"/>
        <w:gridCol w:w="646"/>
        <w:gridCol w:w="109"/>
        <w:gridCol w:w="109"/>
        <w:gridCol w:w="109"/>
        <w:gridCol w:w="109"/>
        <w:gridCol w:w="490"/>
        <w:gridCol w:w="481"/>
        <w:gridCol w:w="483"/>
        <w:gridCol w:w="109"/>
        <w:gridCol w:w="109"/>
        <w:gridCol w:w="109"/>
        <w:gridCol w:w="804"/>
        <w:gridCol w:w="804"/>
        <w:gridCol w:w="806"/>
        <w:gridCol w:w="109"/>
        <w:gridCol w:w="109"/>
        <w:gridCol w:w="109"/>
        <w:gridCol w:w="345"/>
        <w:gridCol w:w="345"/>
        <w:gridCol w:w="352"/>
        <w:gridCol w:w="109"/>
        <w:gridCol w:w="109"/>
        <w:gridCol w:w="109"/>
        <w:gridCol w:w="315"/>
        <w:gridCol w:w="293"/>
        <w:gridCol w:w="784"/>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Discounted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revenue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(5.7)% - 5.0%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15.5% - 15.5%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 enterprise value/ EBIDTA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(1.2)x - 18.1x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12.2x</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the JNX Investment are included within Other, net in the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changes in the Company's Level 3 financial instruments measured at fair value on a recurring basis:</w:t>
      </w:r>
    </w:p>
    <w:tbl>
      <w:tblPr>
        <w:tblW w:w="496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9"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6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9"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95"/>
        <w:gridCol w:w="347"/>
        <w:gridCol w:w="349"/>
        <w:gridCol w:w="109"/>
        <w:gridCol w:w="109"/>
        <w:gridCol w:w="109"/>
        <w:gridCol w:w="207"/>
        <w:gridCol w:w="684"/>
        <w:gridCol w:w="115"/>
        <w:gridCol w:w="109"/>
        <w:gridCol w:w="109"/>
        <w:gridCol w:w="109"/>
        <w:gridCol w:w="227"/>
        <w:gridCol w:w="471"/>
        <w:gridCol w:w="128"/>
        <w:gridCol w:w="109"/>
        <w:gridCol w:w="109"/>
        <w:gridCol w:w="109"/>
        <w:gridCol w:w="227"/>
        <w:gridCol w:w="647"/>
        <w:gridCol w:w="127"/>
        <w:gridCol w:w="109"/>
        <w:gridCol w:w="109"/>
        <w:gridCol w:w="109"/>
        <w:gridCol w:w="239"/>
        <w:gridCol w:w="496"/>
        <w:gridCol w:w="134"/>
        <w:gridCol w:w="109"/>
        <w:gridCol w:w="109"/>
        <w:gridCol w:w="109"/>
        <w:gridCol w:w="240"/>
        <w:gridCol w:w="497"/>
        <w:gridCol w:w="134"/>
        <w:gridCol w:w="109"/>
        <w:gridCol w:w="109"/>
        <w:gridCol w:w="109"/>
        <w:gridCol w:w="207"/>
        <w:gridCol w:w="684"/>
        <w:gridCol w:w="115"/>
        <w:gridCol w:w="109"/>
        <w:gridCol w:w="109"/>
        <w:gridCol w:w="109"/>
        <w:gridCol w:w="266"/>
        <w:gridCol w:w="758"/>
        <w:gridCol w:w="222"/>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Net Unrealized Gains / (Losses) on Investments still held at December 31, 2023</w:t>
            </w:r>
          </w:p>
        </w:tc>
      </w:tr>
      <w:tr>
        <w:trPr/>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81,805 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5,192 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Total realized and unrealized gains/(losses) includes gains and losses due to fluctuations in currency rates as well as gains and losses recognized on changes in the fair value of the JNX Investment.</w:t>
            </w:r>
          </w:p>
        </w:tc>
      </w:tr>
    </w:tbl>
    <w:tbl>
      <w:tblPr>
        <w:tblW w:w="10205" w:type="dxa"/>
        <w:jc w:val="center"/>
        <w:tblInd w:w="0" w:type="dxa"/>
        <w:tblLayout w:type="fixed"/>
        <w:tblCellMar>
          <w:top w:w="28" w:type="dxa"/>
          <w:left w:w="28" w:type="dxa"/>
          <w:bottom w:w="28" w:type="dxa"/>
          <w:right w:w="28" w:type="dxa"/>
        </w:tblCellMar>
      </w:tblPr>
      <w:tblGrid>
        <w:gridCol w:w="395"/>
        <w:gridCol w:w="347"/>
        <w:gridCol w:w="349"/>
        <w:gridCol w:w="109"/>
        <w:gridCol w:w="109"/>
        <w:gridCol w:w="109"/>
        <w:gridCol w:w="207"/>
        <w:gridCol w:w="684"/>
        <w:gridCol w:w="115"/>
        <w:gridCol w:w="109"/>
        <w:gridCol w:w="109"/>
        <w:gridCol w:w="109"/>
        <w:gridCol w:w="227"/>
        <w:gridCol w:w="471"/>
        <w:gridCol w:w="128"/>
        <w:gridCol w:w="109"/>
        <w:gridCol w:w="109"/>
        <w:gridCol w:w="109"/>
        <w:gridCol w:w="220"/>
        <w:gridCol w:w="660"/>
        <w:gridCol w:w="122"/>
        <w:gridCol w:w="109"/>
        <w:gridCol w:w="109"/>
        <w:gridCol w:w="109"/>
        <w:gridCol w:w="239"/>
        <w:gridCol w:w="496"/>
        <w:gridCol w:w="134"/>
        <w:gridCol w:w="109"/>
        <w:gridCol w:w="109"/>
        <w:gridCol w:w="109"/>
        <w:gridCol w:w="240"/>
        <w:gridCol w:w="497"/>
        <w:gridCol w:w="134"/>
        <w:gridCol w:w="109"/>
        <w:gridCol w:w="109"/>
        <w:gridCol w:w="109"/>
        <w:gridCol w:w="207"/>
        <w:gridCol w:w="684"/>
        <w:gridCol w:w="115"/>
        <w:gridCol w:w="109"/>
        <w:gridCol w:w="109"/>
        <w:gridCol w:w="109"/>
        <w:gridCol w:w="262"/>
        <w:gridCol w:w="766"/>
        <w:gridCol w:w="217"/>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Net Unrealized Gains / (Losses) on Investments still held at December 31, 2022</w:t>
            </w:r>
          </w:p>
        </w:tc>
      </w:tr>
      <w:tr>
        <w:trPr/>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81,358 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Total realized and unrealized gains/(losses) includes gains and losses due to fluctuations in currency rates as well as gains and losses recognized on changes in the fair value of the JNX Investment.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Financial Instruments Not Measured at Fair Value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value, fair value and fair value hierarchy category of certain financial instruments that are not measured at fair value on the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financial assets and liabilities not carried at fair value on a recurring basis as of December 31, 2023:</w:t>
      </w:r>
    </w:p>
    <w:tbl>
      <w:tblPr>
        <w:tblW w:w="10205" w:type="dxa"/>
        <w:jc w:val="center"/>
        <w:tblInd w:w="0" w:type="dxa"/>
        <w:tblLayout w:type="fixed"/>
        <w:tblCellMar>
          <w:top w:w="28" w:type="dxa"/>
          <w:left w:w="28" w:type="dxa"/>
          <w:bottom w:w="28" w:type="dxa"/>
          <w:right w:w="28" w:type="dxa"/>
        </w:tblCellMar>
      </w:tblPr>
      <w:tblGrid>
        <w:gridCol w:w="611"/>
        <w:gridCol w:w="538"/>
        <w:gridCol w:w="540"/>
        <w:gridCol w:w="109"/>
        <w:gridCol w:w="109"/>
        <w:gridCol w:w="109"/>
        <w:gridCol w:w="197"/>
        <w:gridCol w:w="880"/>
        <w:gridCol w:w="110"/>
        <w:gridCol w:w="109"/>
        <w:gridCol w:w="109"/>
        <w:gridCol w:w="109"/>
        <w:gridCol w:w="196"/>
        <w:gridCol w:w="871"/>
        <w:gridCol w:w="109"/>
        <w:gridCol w:w="109"/>
        <w:gridCol w:w="109"/>
        <w:gridCol w:w="109"/>
        <w:gridCol w:w="316"/>
        <w:gridCol w:w="1193"/>
        <w:gridCol w:w="179"/>
        <w:gridCol w:w="109"/>
        <w:gridCol w:w="109"/>
        <w:gridCol w:w="109"/>
        <w:gridCol w:w="241"/>
        <w:gridCol w:w="1074"/>
        <w:gridCol w:w="134"/>
        <w:gridCol w:w="109"/>
        <w:gridCol w:w="109"/>
        <w:gridCol w:w="109"/>
        <w:gridCol w:w="355"/>
        <w:gridCol w:w="737"/>
        <w:gridCol w:w="289"/>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 </w:t>
            </w:r>
          </w:p>
        </w:tc>
      </w:tr>
      <w:tr>
        <w:trPr/>
        <w:tc>
          <w:tcPr>
            <w:tcW w:w="1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820,436 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820,436 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1,722,440 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1,722,440 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1,512,114 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1,512,114 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737,724 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737,724 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4,965,005 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4,965,005 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865,904 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4,099,101 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1,727,205 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1,758,292 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1,329,446 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1,329,446 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1,795,994 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1,795,994 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1,160,051 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1,160,051 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6,055,225 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6,086,312 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6,086,312 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cash collateral and deposits, and interest and dividends receivables.</w:t>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516" w:type="dxa"/>
            <w:gridSpan w:val="30"/>
            <w:tcBorders/>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Includes deposits, interest and dividends payable.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financial assets and liabilities not carried at fair value on a recurring basis as of December 31, 2022:</w:t>
      </w:r>
    </w:p>
    <w:tbl>
      <w:tblPr>
        <w:tblW w:w="10205" w:type="dxa"/>
        <w:jc w:val="center"/>
        <w:tblInd w:w="0" w:type="dxa"/>
        <w:tblLayout w:type="fixed"/>
        <w:tblCellMar>
          <w:top w:w="28" w:type="dxa"/>
          <w:left w:w="28" w:type="dxa"/>
          <w:bottom w:w="28" w:type="dxa"/>
          <w:right w:w="28" w:type="dxa"/>
        </w:tblCellMar>
      </w:tblPr>
      <w:tblGrid>
        <w:gridCol w:w="611"/>
        <w:gridCol w:w="538"/>
        <w:gridCol w:w="540"/>
        <w:gridCol w:w="109"/>
        <w:gridCol w:w="109"/>
        <w:gridCol w:w="109"/>
        <w:gridCol w:w="197"/>
        <w:gridCol w:w="880"/>
        <w:gridCol w:w="110"/>
        <w:gridCol w:w="109"/>
        <w:gridCol w:w="109"/>
        <w:gridCol w:w="109"/>
        <w:gridCol w:w="196"/>
        <w:gridCol w:w="871"/>
        <w:gridCol w:w="109"/>
        <w:gridCol w:w="109"/>
        <w:gridCol w:w="109"/>
        <w:gridCol w:w="109"/>
        <w:gridCol w:w="280"/>
        <w:gridCol w:w="1250"/>
        <w:gridCol w:w="158"/>
        <w:gridCol w:w="109"/>
        <w:gridCol w:w="109"/>
        <w:gridCol w:w="109"/>
        <w:gridCol w:w="241"/>
        <w:gridCol w:w="1074"/>
        <w:gridCol w:w="134"/>
        <w:gridCol w:w="109"/>
        <w:gridCol w:w="109"/>
        <w:gridCol w:w="109"/>
        <w:gridCol w:w="355"/>
        <w:gridCol w:w="737"/>
        <w:gridCol w:w="289"/>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 </w:t>
            </w:r>
          </w:p>
        </w:tc>
      </w:tr>
      <w:tr>
        <w:trPr/>
        <w:tc>
          <w:tcPr>
            <w:tcW w:w="1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981,580 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981,580 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restricted or segregated under regulations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1,027,917 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1,027,917 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80,830 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3,702,241 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3,702,241 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1,038,242 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2,663,999 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1,795,952 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1,783,943 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3,832,021 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3,820,012 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cash collateral and deposits, and interest and dividends receivables.</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Includes deposits, interest and dividends payable.</w:t>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516"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Offsetting of Financial Assets and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net securities borrowed and securities loaned, or securities purchased under agreements to resell and securities sold under agreements to repurchase. These financial instruments are presented on a gross basis in the Consolidated Statements of Financial Condition. In the tables below, the amounts of financial instruments owned that are not offset in the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gross and net presentation of certain financial assets and financial liabilities as of December 31, 2023 and December 31, 2022:</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09"/>
        <w:gridCol w:w="360"/>
        <w:gridCol w:w="362"/>
        <w:gridCol w:w="109"/>
        <w:gridCol w:w="109"/>
        <w:gridCol w:w="109"/>
        <w:gridCol w:w="207"/>
        <w:gridCol w:w="925"/>
        <w:gridCol w:w="117"/>
        <w:gridCol w:w="109"/>
        <w:gridCol w:w="109"/>
        <w:gridCol w:w="109"/>
        <w:gridCol w:w="212"/>
        <w:gridCol w:w="818"/>
        <w:gridCol w:w="117"/>
        <w:gridCol w:w="109"/>
        <w:gridCol w:w="109"/>
        <w:gridCol w:w="109"/>
        <w:gridCol w:w="215"/>
        <w:gridCol w:w="957"/>
        <w:gridCol w:w="119"/>
        <w:gridCol w:w="109"/>
        <w:gridCol w:w="109"/>
        <w:gridCol w:w="109"/>
        <w:gridCol w:w="200"/>
        <w:gridCol w:w="911"/>
        <w:gridCol w:w="111"/>
        <w:gridCol w:w="111"/>
        <w:gridCol w:w="111"/>
        <w:gridCol w:w="111"/>
        <w:gridCol w:w="345"/>
        <w:gridCol w:w="691"/>
        <w:gridCol w:w="113"/>
        <w:gridCol w:w="109"/>
        <w:gridCol w:w="109"/>
        <w:gridCol w:w="109"/>
        <w:gridCol w:w="203"/>
        <w:gridCol w:w="671"/>
        <w:gridCol w:w="174"/>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Amounts Offset in the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Net Amounts of Assets Presented in the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Amounts Not Offset in the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 Collateral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1,722,440 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1,722,440 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(1,665,860)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(27,538)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1,512,114 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1,512,114 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(1,512,114)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377,279 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(354,698)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3,615,318 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(354,698)</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3,260,620 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(3,177,974)</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(30,452)</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52,194 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51"/>
        <w:gridCol w:w="357"/>
        <w:gridCol w:w="360"/>
        <w:gridCol w:w="109"/>
        <w:gridCol w:w="109"/>
        <w:gridCol w:w="109"/>
        <w:gridCol w:w="206"/>
        <w:gridCol w:w="921"/>
        <w:gridCol w:w="116"/>
        <w:gridCol w:w="109"/>
        <w:gridCol w:w="109"/>
        <w:gridCol w:w="109"/>
        <w:gridCol w:w="207"/>
        <w:gridCol w:w="800"/>
        <w:gridCol w:w="115"/>
        <w:gridCol w:w="109"/>
        <w:gridCol w:w="109"/>
        <w:gridCol w:w="109"/>
        <w:gridCol w:w="210"/>
        <w:gridCol w:w="935"/>
        <w:gridCol w:w="117"/>
        <w:gridCol w:w="109"/>
        <w:gridCol w:w="109"/>
        <w:gridCol w:w="109"/>
        <w:gridCol w:w="199"/>
        <w:gridCol w:w="904"/>
        <w:gridCol w:w="110"/>
        <w:gridCol w:w="110"/>
        <w:gridCol w:w="110"/>
        <w:gridCol w:w="110"/>
        <w:gridCol w:w="344"/>
        <w:gridCol w:w="683"/>
        <w:gridCol w:w="112"/>
        <w:gridCol w:w="109"/>
        <w:gridCol w:w="109"/>
        <w:gridCol w:w="109"/>
        <w:gridCol w:w="212"/>
        <w:gridCol w:w="701"/>
        <w:gridCol w:w="180"/>
      </w:tblGrid>
      <w:tr>
        <w:trPr/>
        <w:tc>
          <w:tcPr>
            <w:tcW w:w="45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Amounts Offset in the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Liabilities Presented in the Consolidated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Amounts Not Offset in the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Financial Instrument Collateral</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 </w:t>
            </w:r>
          </w:p>
        </w:tc>
      </w:tr>
      <w:tr>
        <w:trPr/>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1,329,446 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1,329,446 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(1,291,376)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1,795,994 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1,795,994 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(1,795,994)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339,085 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(336,311)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3,475,372 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(336,311)</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3,139,061 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(3,087,370)</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(34,423)</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53"/>
        <w:gridCol w:w="359"/>
        <w:gridCol w:w="361"/>
        <w:gridCol w:w="109"/>
        <w:gridCol w:w="109"/>
        <w:gridCol w:w="109"/>
        <w:gridCol w:w="206"/>
        <w:gridCol w:w="917"/>
        <w:gridCol w:w="116"/>
        <w:gridCol w:w="109"/>
        <w:gridCol w:w="109"/>
        <w:gridCol w:w="109"/>
        <w:gridCol w:w="207"/>
        <w:gridCol w:w="799"/>
        <w:gridCol w:w="115"/>
        <w:gridCol w:w="109"/>
        <w:gridCol w:w="109"/>
        <w:gridCol w:w="109"/>
        <w:gridCol w:w="209"/>
        <w:gridCol w:w="932"/>
        <w:gridCol w:w="116"/>
        <w:gridCol w:w="109"/>
        <w:gridCol w:w="109"/>
        <w:gridCol w:w="109"/>
        <w:gridCol w:w="199"/>
        <w:gridCol w:w="904"/>
        <w:gridCol w:w="111"/>
        <w:gridCol w:w="111"/>
        <w:gridCol w:w="111"/>
        <w:gridCol w:w="111"/>
        <w:gridCol w:w="433"/>
        <w:gridCol w:w="592"/>
        <w:gridCol w:w="112"/>
        <w:gridCol w:w="109"/>
        <w:gridCol w:w="109"/>
        <w:gridCol w:w="109"/>
        <w:gridCol w:w="196"/>
        <w:gridCol w:w="736"/>
        <w:gridCol w:w="164"/>
      </w:tblGrid>
      <w:tr>
        <w:trPr/>
        <w:tc>
          <w:tcPr>
            <w:tcW w:w="45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Amounts Offset in the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Net Amounts of Assets Presented in the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Amounts Not Offset in the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 Collateral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(1,148,238)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(336,849)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500,553 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(493,237)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2,117,694 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(493,237)</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1,624,457 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(1,485,087)</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(9,027)</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130,343 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08"/>
        <w:gridCol w:w="359"/>
        <w:gridCol w:w="361"/>
        <w:gridCol w:w="109"/>
        <w:gridCol w:w="109"/>
        <w:gridCol w:w="109"/>
        <w:gridCol w:w="208"/>
        <w:gridCol w:w="928"/>
        <w:gridCol w:w="117"/>
        <w:gridCol w:w="109"/>
        <w:gridCol w:w="109"/>
        <w:gridCol w:w="109"/>
        <w:gridCol w:w="211"/>
        <w:gridCol w:w="817"/>
        <w:gridCol w:w="117"/>
        <w:gridCol w:w="109"/>
        <w:gridCol w:w="109"/>
        <w:gridCol w:w="109"/>
        <w:gridCol w:w="215"/>
        <w:gridCol w:w="958"/>
        <w:gridCol w:w="119"/>
        <w:gridCol w:w="109"/>
        <w:gridCol w:w="109"/>
        <w:gridCol w:w="109"/>
        <w:gridCol w:w="200"/>
        <w:gridCol w:w="910"/>
        <w:gridCol w:w="111"/>
        <w:gridCol w:w="111"/>
        <w:gridCol w:w="111"/>
        <w:gridCol w:w="111"/>
        <w:gridCol w:w="345"/>
        <w:gridCol w:w="691"/>
        <w:gridCol w:w="113"/>
        <w:gridCol w:w="109"/>
        <w:gridCol w:w="109"/>
        <w:gridCol w:w="109"/>
        <w:gridCol w:w="203"/>
        <w:gridCol w:w="671"/>
        <w:gridCol w:w="175"/>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Amounts Offset in the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Liabilities Presented in the Consolidated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Amounts Not Offset in the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 Collateral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(1,027,062)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(627,388)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2,189,669 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1,691,870 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(1,654,450)</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(12,989)</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24,431 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gross obligations for securities sold under agreements to repurchase and for securities lending transactions by remaining contractual maturity and the class of collateral pledged as of December 31, 2023 and December 31, 2022:</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99"/>
        <w:gridCol w:w="528"/>
        <w:gridCol w:w="531"/>
        <w:gridCol w:w="109"/>
        <w:gridCol w:w="109"/>
        <w:gridCol w:w="109"/>
        <w:gridCol w:w="231"/>
        <w:gridCol w:w="1030"/>
        <w:gridCol w:w="128"/>
        <w:gridCol w:w="109"/>
        <w:gridCol w:w="109"/>
        <w:gridCol w:w="109"/>
        <w:gridCol w:w="211"/>
        <w:gridCol w:w="795"/>
        <w:gridCol w:w="117"/>
        <w:gridCol w:w="109"/>
        <w:gridCol w:w="109"/>
        <w:gridCol w:w="109"/>
        <w:gridCol w:w="196"/>
        <w:gridCol w:w="736"/>
        <w:gridCol w:w="109"/>
        <w:gridCol w:w="109"/>
        <w:gridCol w:w="109"/>
        <w:gridCol w:w="109"/>
        <w:gridCol w:w="196"/>
        <w:gridCol w:w="646"/>
        <w:gridCol w:w="109"/>
        <w:gridCol w:w="109"/>
        <w:gridCol w:w="109"/>
        <w:gridCol w:w="109"/>
        <w:gridCol w:w="235"/>
        <w:gridCol w:w="488"/>
        <w:gridCol w:w="130"/>
        <w:gridCol w:w="109"/>
        <w:gridCol w:w="109"/>
        <w:gridCol w:w="109"/>
        <w:gridCol w:w="196"/>
        <w:gridCol w:w="871"/>
        <w:gridCol w:w="161"/>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Contractual Maturity</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Overnight and Continuous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30 - 60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61 - 90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1,395,994 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1,395,994 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1,395,994 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1,795,994 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1,329,446 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1,329,446 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1,329,446 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1,329,446 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99"/>
        <w:gridCol w:w="528"/>
        <w:gridCol w:w="531"/>
        <w:gridCol w:w="109"/>
        <w:gridCol w:w="109"/>
        <w:gridCol w:w="109"/>
        <w:gridCol w:w="231"/>
        <w:gridCol w:w="1030"/>
        <w:gridCol w:w="128"/>
        <w:gridCol w:w="109"/>
        <w:gridCol w:w="109"/>
        <w:gridCol w:w="109"/>
        <w:gridCol w:w="211"/>
        <w:gridCol w:w="795"/>
        <w:gridCol w:w="117"/>
        <w:gridCol w:w="109"/>
        <w:gridCol w:w="109"/>
        <w:gridCol w:w="109"/>
        <w:gridCol w:w="196"/>
        <w:gridCol w:w="736"/>
        <w:gridCol w:w="109"/>
        <w:gridCol w:w="109"/>
        <w:gridCol w:w="109"/>
        <w:gridCol w:w="109"/>
        <w:gridCol w:w="196"/>
        <w:gridCol w:w="646"/>
        <w:gridCol w:w="109"/>
        <w:gridCol w:w="109"/>
        <w:gridCol w:w="109"/>
        <w:gridCol w:w="109"/>
        <w:gridCol w:w="235"/>
        <w:gridCol w:w="488"/>
        <w:gridCol w:w="130"/>
        <w:gridCol w:w="109"/>
        <w:gridCol w:w="109"/>
        <w:gridCol w:w="109"/>
        <w:gridCol w:w="196"/>
        <w:gridCol w:w="871"/>
        <w:gridCol w:w="161"/>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Contractual Maturity</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Overnight and Continuous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30 - 60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61 - 90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10. Derivative Instruments</w:t>
      </w:r>
    </w:p>
    <w:p>
      <w:pPr>
        <w:pStyle w:val="TextBody"/>
        <w:bidi w:val="0"/>
        <w:spacing w:before="120" w:after="283"/>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derivative instruments on a gross basis consisted of the following at December 31, 2023 and December 31, 2022:</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17"/>
        <w:gridCol w:w="720"/>
        <w:gridCol w:w="728"/>
        <w:gridCol w:w="109"/>
        <w:gridCol w:w="109"/>
        <w:gridCol w:w="109"/>
        <w:gridCol w:w="776"/>
        <w:gridCol w:w="577"/>
        <w:gridCol w:w="579"/>
        <w:gridCol w:w="109"/>
        <w:gridCol w:w="109"/>
        <w:gridCol w:w="109"/>
        <w:gridCol w:w="234"/>
        <w:gridCol w:w="521"/>
        <w:gridCol w:w="131"/>
        <w:gridCol w:w="109"/>
        <w:gridCol w:w="109"/>
        <w:gridCol w:w="109"/>
        <w:gridCol w:w="196"/>
        <w:gridCol w:w="871"/>
        <w:gridCol w:w="109"/>
        <w:gridCol w:w="109"/>
        <w:gridCol w:w="109"/>
        <w:gridCol w:w="109"/>
        <w:gridCol w:w="201"/>
        <w:gridCol w:w="572"/>
        <w:gridCol w:w="113"/>
        <w:gridCol w:w="109"/>
        <w:gridCol w:w="109"/>
        <w:gridCol w:w="109"/>
        <w:gridCol w:w="196"/>
        <w:gridCol w:w="871"/>
        <w:gridCol w:w="158"/>
      </w:tblGrid>
      <w:tr>
        <w:trPr/>
        <w:tc>
          <w:tcPr>
            <w:tcW w:w="10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r>
      <w:tr>
        <w:trPr/>
        <w:tc>
          <w:tcPr>
            <w:tcW w:w="2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Equities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663,110 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Commodity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6,489,328 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7,597,057 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6,964,937 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(24,023)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7,460,531 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income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691,737 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377,279 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33,579,641 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500,553 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30,286,330 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r>
      <w:tr>
        <w:trPr/>
        <w:tc>
          <w:tcPr>
            <w:tcW w:w="2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Equities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3,238,651 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Commodity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income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742,531 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339,085 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33,560,544 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30,284,952 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Amounts included in receivables from and payables to broker-dealers and clearing organizations represent net variation margin on long and short futures contracts as well as amounts receivable or payable on interest rate swaps.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Consolidated Statements of Comprehensive Income for the years ended December 31, 2023. 2022, and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29"/>
        <w:gridCol w:w="907"/>
        <w:gridCol w:w="912"/>
        <w:gridCol w:w="109"/>
        <w:gridCol w:w="109"/>
        <w:gridCol w:w="109"/>
        <w:gridCol w:w="898"/>
        <w:gridCol w:w="771"/>
        <w:gridCol w:w="774"/>
        <w:gridCol w:w="109"/>
        <w:gridCol w:w="109"/>
        <w:gridCol w:w="109"/>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02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415" w:type="dxa"/>
            <w:gridSpan w:val="6"/>
            <w:tcBorders/>
          </w:tcPr>
          <w:p>
            <w:pPr>
              <w:pStyle w:val="TableContents"/>
              <w:bidi w:val="0"/>
              <w:spacing w:before="0" w:after="283"/>
              <w:jc w:val="left"/>
              <w:rPr>
                <w:sz w:val="4"/>
                <w:szCs w:val="4"/>
              </w:rPr>
            </w:pPr>
            <w:r>
              <w:rPr>
                <w:sz w:val="4"/>
                <w:szCs w:val="4"/>
              </w:rPr>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 on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interest expense on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44,541 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The Company entered into a five-year $1,000 million floating-to-fixed interest rate swap agreement in the first quarter of 2020 and a five-year $525 million floating-to-fixed interest rate swap agreement in the fourth quarter of 2019. These two interest rate swaps met the criteria to be considered qualifying cash flow hedges under ASC 815 in the first quarter of 2020, and as such, the mark-to-market gains (losses) on the instruments were deferred within Other comprehensive income on the Consolidated Statements of Comprehensive Income beginning in the first quarter of 2020. The two interest rate swaps were terminated and dedesignated as cash flow hedges in December 2023. The Company entered into a two-year $1,525 million floating-to-fixed interest rate agreement in December 2023. The two-year interest rate swap met the criteria to be considered as a qualifying cash flow hedge under ASC 815 as of December 2023, and the mark-to-market gains (losses) on the instrument was deferred within Other comprehensive income on the Consolidated Statements of Comprehensive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Variable Interest Entities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December 31, 2023, the Company held noncontrolling interests of 12.5% and 50.0%, respectively, in these JVs.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an interest in a JV that offers derivatives trading technology and execution services to broker-dealers, professional traders and select hedge funds. As of December 31, 2023, the Company held approximately a 9.8% noncontrolling interest in this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an interest in a JV that operates a member-owned equities exchange with the goal of increasing competition and transparency, while reducing fixed costs and simplifying execution of equity trading in the U.S. As of December 31, 2023, the Company held approximately a 13.5% noncontrolling interest in this JV.</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2022, the Company invested in a JV that was formed for the purpose of developing and operating a cryptocurrency trading platform with the goal of increasing competition and transparency, while improving trading performance and reducing operational risk. As of December 31, 2023, the Company held approximately a 6.9% noncontrolling interest in this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five JVs noted above meet the criteria to be considered VIEs, which it does not consolidate. The Company records its interest in each JV under the equity method of accounting and records its investment in the JVs within Other assets and its amounts payable for communication services provided by the applicable JVs within Accounts payable, accrued expenses and other liabilities on the Statements of Financial Condition. The Company records its pro-rata share of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JV's earnings or losses within Other, net and fees related to the use of communication services provided by the JVs within Communications and data processing on the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exposure to the obligations of these VIEs is generally limited to its interests in each respective JV, which is the carrying value of the equity investment in each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nonconsolidated VIEs at December 31, 2023:</w:t>
      </w:r>
    </w:p>
    <w:p>
      <w:pPr>
        <w:pStyle w:val="TextBody"/>
        <w:bidi w:val="0"/>
        <w:spacing w:before="0" w:after="0"/>
        <w:ind w:left="0" w:right="0" w:firstLine="720"/>
        <w:jc w:val="left"/>
        <w:rPr/>
      </w:pPr>
      <w:r>
        <w:rPr/>
      </w:r>
    </w:p>
    <w:tbl>
      <w:tblPr>
        <w:tblW w:w="7561"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196"/>
        <w:gridCol w:w="646"/>
        <w:gridCol w:w="109"/>
        <w:gridCol w:w="109"/>
        <w:gridCol w:w="109"/>
        <w:gridCol w:w="109"/>
        <w:gridCol w:w="198"/>
        <w:gridCol w:w="411"/>
        <w:gridCol w:w="112"/>
        <w:gridCol w:w="109"/>
        <w:gridCol w:w="109"/>
        <w:gridCol w:w="109"/>
        <w:gridCol w:w="436"/>
        <w:gridCol w:w="1437"/>
        <w:gridCol w:w="242"/>
        <w:gridCol w:w="109"/>
        <w:gridCol w:w="109"/>
        <w:gridCol w:w="109"/>
        <w:gridCol w:w="196"/>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 to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VIEs' assets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59,713 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273,905 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nonconsolidated VIEs at December 31, 2022: </w:t>
      </w:r>
    </w:p>
    <w:p>
      <w:pPr>
        <w:pStyle w:val="TextBody"/>
        <w:bidi w:val="0"/>
        <w:spacing w:before="0" w:after="0"/>
        <w:ind w:left="0" w:right="0" w:firstLine="720"/>
        <w:jc w:val="left"/>
        <w:rPr/>
      </w:pPr>
      <w:r>
        <w:rPr/>
      </w:r>
    </w:p>
    <w:tbl>
      <w:tblPr>
        <w:tblW w:w="7561"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196"/>
        <w:gridCol w:w="646"/>
        <w:gridCol w:w="109"/>
        <w:gridCol w:w="109"/>
        <w:gridCol w:w="109"/>
        <w:gridCol w:w="109"/>
        <w:gridCol w:w="198"/>
        <w:gridCol w:w="411"/>
        <w:gridCol w:w="112"/>
        <w:gridCol w:w="109"/>
        <w:gridCol w:w="109"/>
        <w:gridCol w:w="109"/>
        <w:gridCol w:w="436"/>
        <w:gridCol w:w="1437"/>
        <w:gridCol w:w="242"/>
        <w:gridCol w:w="109"/>
        <w:gridCol w:w="109"/>
        <w:gridCol w:w="109"/>
        <w:gridCol w:w="196"/>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 to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VIEs' assets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43,589 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239,682 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2022, the Company formed a JV to support the growth and expansion of a multi-asset request-for-quote communication platform. As of December 31, 2023, the Company held a 51% controlling interest in this entity. This JV meets the criteria to be considered a VIE, and based on the standard for control set forth above, the Company consolidates this entity and records the interest that the Company does not own as noncontrolling interest in the Consolidated Financial Statements.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12. Revenues from Contracts with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Commissions, net</w:t>
      </w:r>
      <w:r>
        <w:rPr>
          <w:rFonts w:ascii="Times New Roman;sans-serif" w:hAnsi="Times New Roman;sans-serif"/>
          <w:b w:val="false"/>
          <w:color w:val="000000"/>
          <w:sz w:val="20"/>
        </w:rPr>
        <w:t>. The Company earns commission revenue by acting as an agent on behalf of customers. The Company’s performance obligations consist of trade execution and clearing services and are satisfied on the trade date; accordingly, commission revenues are recorded on the trade date. Commission revenues are received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Workflow technology</w:t>
      </w:r>
      <w:r>
        <w:rPr>
          <w:rFonts w:ascii="Times New Roman;sans-serif" w:hAnsi="Times New Roman;sans-serif"/>
          <w:b w:val="false"/>
          <w:color w:val="000000"/>
          <w:sz w:val="20"/>
        </w:rPr>
        <w:t>. Through its front-end workflow solutions and network capabilities, the Company provides order and trade execution management and order routing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trade order routing from its execution management system (“EMS”) to its execution services offerings, with each trade order routed through the EMS representing a separate performance obligation that is satisfied at a point in time. Commissions earned are fixed and revenue is recognized on the trade date. A portion of the commissions earned on the trade is then allocated to workflow technology based on the stand-alone selling price paid by third-party brokers for order routing. The remaining commission is allocated to Commissions, net using a residual allocation approach.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commission sharing arrangements, where trade orders are routed to third-party brokers from its EMS and its order management system (“OMS”). Commission share revenues from third-party brokers are generally fixed and revenue is recognized at a point in time on the trade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Analytics</w:t>
      </w:r>
      <w:r>
        <w:rPr>
          <w:rFonts w:ascii="Times New Roman;sans-serif" w:hAnsi="Times New Roman;sans-serif"/>
          <w:b w:val="false"/>
          <w:color w:val="000000"/>
          <w:sz w:val="20"/>
        </w:rPr>
        <w:t xml:space="preserve">. The Company provides customers with analytics products and services, including trading and portfolio analytics tools. The Company provides analytics products and services to customers and recognizes subscription fees, which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the commission value for each customer for the products and services it receives, which is priced using the value for similar stand-alone subscription arrangements;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a calculated ratio of the commission value for the products and services relative to the total amount of commissions generated from the customer.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contracts with customers disaggregated by service, and timing of revenue recognition, reconciled to the Company’s segments, for the years ended December 31, 2023, 2022, and 2021:</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930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07"/>
        <w:gridCol w:w="922"/>
        <w:gridCol w:w="115"/>
        <w:gridCol w:w="109"/>
        <w:gridCol w:w="109"/>
        <w:gridCol w:w="109"/>
        <w:gridCol w:w="274"/>
        <w:gridCol w:w="1029"/>
        <w:gridCol w:w="152"/>
        <w:gridCol w:w="109"/>
        <w:gridCol w:w="109"/>
        <w:gridCol w:w="109"/>
        <w:gridCol w:w="198"/>
        <w:gridCol w:w="562"/>
        <w:gridCol w:w="111"/>
        <w:gridCol w:w="109"/>
        <w:gridCol w:w="109"/>
        <w:gridCol w:w="109"/>
        <w:gridCol w:w="196"/>
        <w:gridCol w:w="87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297,089 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Workflow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90,654 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426,027 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sources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1,813,952 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20,515 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1,843,523 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446,542 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1,843,523 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374,306 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2,221,137 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72,236 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1,843,523 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446,542 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2,293,373 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tbl>
      <w:tblPr>
        <w:tblW w:w="938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07"/>
        <w:gridCol w:w="922"/>
        <w:gridCol w:w="115"/>
        <w:gridCol w:w="109"/>
        <w:gridCol w:w="109"/>
        <w:gridCol w:w="109"/>
        <w:gridCol w:w="274"/>
        <w:gridCol w:w="1029"/>
        <w:gridCol w:w="152"/>
        <w:gridCol w:w="109"/>
        <w:gridCol w:w="109"/>
        <w:gridCol w:w="109"/>
        <w:gridCol w:w="196"/>
        <w:gridCol w:w="646"/>
        <w:gridCol w:w="109"/>
        <w:gridCol w:w="109"/>
        <w:gridCol w:w="109"/>
        <w:gridCol w:w="109"/>
        <w:gridCol w:w="196"/>
        <w:gridCol w:w="87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356,090 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Workflow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91,667 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39,908 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487,665 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sources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1,770,659 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1,834,967 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1,812,839 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514,241 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1,812,839 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444,483 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69,758 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1,812,839 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514,241 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2,364,812 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930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07"/>
        <w:gridCol w:w="922"/>
        <w:gridCol w:w="115"/>
        <w:gridCol w:w="109"/>
        <w:gridCol w:w="109"/>
        <w:gridCol w:w="109"/>
        <w:gridCol w:w="274"/>
        <w:gridCol w:w="1029"/>
        <w:gridCol w:w="152"/>
        <w:gridCol w:w="109"/>
        <w:gridCol w:w="109"/>
        <w:gridCol w:w="109"/>
        <w:gridCol w:w="198"/>
        <w:gridCol w:w="562"/>
        <w:gridCol w:w="111"/>
        <w:gridCol w:w="109"/>
        <w:gridCol w:w="109"/>
        <w:gridCol w:w="109"/>
        <w:gridCol w:w="196"/>
        <w:gridCol w:w="87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433,755 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Workflow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41,293 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40,955 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573,534 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614,489 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sources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2,162,091 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26,681 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2,196,996 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2,203,046 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600,215 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2,811,485 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2,203,046 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525,960 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2,737,230 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74,255 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2,203,046 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600,215 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2,811,485 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 and Revenue Recognized from Past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aggregate amount of the transaction price allocated to the performance obligations relating to workflow technology and analytics revenues that are unsatisfied (or partially unsatisfied) was not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Contract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related to revenues from contracts with customers amounted to $56.4 million and $56.1 million as of December 31, 2023 and December 31, 2022, respectively. The Company did not identify any contract assets. There were no impairment losses on receivables as of December 31,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primarily relates to deferred commissions allocated to analytics products and subscription fees billed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advance of satisfying the performance obligations. Deferred revenue related to contracts with customers was $8.4 million and $9.6 million as of December 31, 2023 and December 31, 2022, respectively. The Company recognized the full amount of revenue </w:t>
      </w:r>
      <w:r>
        <w:rPr>
          <w:rFonts w:ascii="Times New Roman;sans-serif" w:hAnsi="Times New Roman;sans-serif"/>
          <w:b w:val="false"/>
          <w:color w:val="000000"/>
          <w:sz w:val="20"/>
          <w:shd w:fill="FFFFFF" w:val="clear"/>
        </w:rPr>
        <w:t xml:space="preserve">during the years ended December 31, 2023 and 2022, </w:t>
      </w:r>
      <w:r>
        <w:rPr>
          <w:rFonts w:ascii="Times New Roman;sans-serif" w:hAnsi="Times New Roman;sans-serif"/>
          <w:b w:val="false"/>
          <w:color w:val="000000"/>
          <w:sz w:val="20"/>
        </w:rPr>
        <w:t>that had been recorded as deferred revenue in the respective prior year.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identified any costs to obtain or fulfill its contracts under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and noncontrolling interest is as follows for the years ended December 31, 2023, 2022, and 2021:</w:t>
      </w:r>
    </w:p>
    <w:tbl>
      <w:tblPr>
        <w:tblW w:w="5366" w:type="dxa"/>
        <w:jc w:val="center"/>
        <w:tblInd w:w="0" w:type="dxa"/>
        <w:tblLayout w:type="fixed"/>
        <w:tblCellMar>
          <w:top w:w="28" w:type="dxa"/>
          <w:left w:w="28" w:type="dxa"/>
          <w:bottom w:w="28" w:type="dxa"/>
          <w:right w:w="28" w:type="dxa"/>
        </w:tblCellMar>
      </w:tblPr>
      <w:tblGrid>
        <w:gridCol w:w="559"/>
        <w:gridCol w:w="491"/>
        <w:gridCol w:w="494"/>
        <w:gridCol w:w="196"/>
        <w:gridCol w:w="736"/>
        <w:gridCol w:w="109"/>
        <w:gridCol w:w="109"/>
        <w:gridCol w:w="109"/>
        <w:gridCol w:w="109"/>
        <w:gridCol w:w="196"/>
        <w:gridCol w:w="736"/>
        <w:gridCol w:w="109"/>
        <w:gridCol w:w="109"/>
        <w:gridCol w:w="109"/>
        <w:gridCol w:w="109"/>
        <w:gridCol w:w="196"/>
        <w:gridCol w:w="73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Non-U.S.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996,904 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consists of the following for the years ended December 31, 2023, 2022, and 2021:</w:t>
      </w:r>
    </w:p>
    <w:tbl>
      <w:tblPr>
        <w:tblW w:w="5727" w:type="dxa"/>
        <w:jc w:val="center"/>
        <w:tblInd w:w="0" w:type="dxa"/>
        <w:tblLayout w:type="fixed"/>
        <w:tblCellMar>
          <w:top w:w="28" w:type="dxa"/>
          <w:left w:w="28" w:type="dxa"/>
          <w:bottom w:w="28" w:type="dxa"/>
          <w:right w:w="28" w:type="dxa"/>
        </w:tblCellMar>
      </w:tblPr>
      <w:tblGrid>
        <w:gridCol w:w="754"/>
        <w:gridCol w:w="665"/>
        <w:gridCol w:w="666"/>
        <w:gridCol w:w="196"/>
        <w:gridCol w:w="646"/>
        <w:gridCol w:w="109"/>
        <w:gridCol w:w="109"/>
        <w:gridCol w:w="109"/>
        <w:gridCol w:w="109"/>
        <w:gridCol w:w="196"/>
        <w:gridCol w:w="646"/>
        <w:gridCol w:w="109"/>
        <w:gridCol w:w="109"/>
        <w:gridCol w:w="109"/>
        <w:gridCol w:w="109"/>
        <w:gridCol w:w="196"/>
        <w:gridCol w:w="73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provision (benefit)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Local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provision (benefit)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Federal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Local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tax provision at the U.S. federal statutory rate to the provision for income taxes for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years ended December 31, 2023, 2022, and 2021 is as follows:</w:t>
      </w:r>
    </w:p>
    <w:tbl>
      <w:tblPr>
        <w:tblW w:w="7281" w:type="dxa"/>
        <w:jc w:val="center"/>
        <w:tblInd w:w="0" w:type="dxa"/>
        <w:tblLayout w:type="fixed"/>
        <w:tblCellMar>
          <w:top w:w="28" w:type="dxa"/>
          <w:left w:w="28" w:type="dxa"/>
          <w:bottom w:w="28" w:type="dxa"/>
          <w:right w:w="28" w:type="dxa"/>
        </w:tblCellMar>
      </w:tblPr>
      <w:tblGrid>
        <w:gridCol w:w="1606"/>
        <w:gridCol w:w="1415"/>
        <w:gridCol w:w="1419"/>
        <w:gridCol w:w="233"/>
        <w:gridCol w:w="233"/>
        <w:gridCol w:w="246"/>
        <w:gridCol w:w="110"/>
        <w:gridCol w:w="110"/>
        <w:gridCol w:w="110"/>
        <w:gridCol w:w="233"/>
        <w:gridCol w:w="233"/>
        <w:gridCol w:w="246"/>
        <w:gridCol w:w="110"/>
        <w:gridCol w:w="110"/>
        <w:gridCol w:w="110"/>
        <w:gridCol w:w="233"/>
        <w:gridCol w:w="233"/>
        <w:gridCol w:w="291"/>
      </w:tblGrid>
      <w:tr>
        <w:trPr/>
        <w:tc>
          <w:tcPr>
            <w:tcW w:w="160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provision at the U.S. federal statutory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rate attributable to noncontrolling interest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local taxes, net of federal benefit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Non-deductible expenses,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Excess tax benefit(deficiency) from share based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tax credits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Effective tax rate</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deferred tax assets and liabilities as of December 31, 2023 and 2022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left"/>
        <w:rPr/>
      </w:pPr>
      <w:r>
        <w:rPr/>
      </w:r>
    </w:p>
    <w:tbl>
      <w:tblPr>
        <w:tblW w:w="7929" w:type="dxa"/>
        <w:jc w:val="center"/>
        <w:tblInd w:w="0" w:type="dxa"/>
        <w:tblLayout w:type="fixed"/>
        <w:tblCellMar>
          <w:top w:w="28" w:type="dxa"/>
          <w:left w:w="28" w:type="dxa"/>
          <w:bottom w:w="28" w:type="dxa"/>
          <w:right w:w="28" w:type="dxa"/>
        </w:tblCellMar>
      </w:tblPr>
      <w:tblGrid>
        <w:gridCol w:w="1980"/>
        <w:gridCol w:w="1743"/>
        <w:gridCol w:w="1752"/>
        <w:gridCol w:w="196"/>
        <w:gridCol w:w="736"/>
        <w:gridCol w:w="109"/>
        <w:gridCol w:w="109"/>
        <w:gridCol w:w="109"/>
        <w:gridCol w:w="109"/>
        <w:gridCol w:w="196"/>
        <w:gridCol w:w="736"/>
        <w:gridCol w:w="154"/>
      </w:tblGrid>
      <w:tr>
        <w:trPr/>
        <w:tc>
          <w:tcPr>
            <w:tcW w:w="1980"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Deferred income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Receivable Agreement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assets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credits and net operating loss carryforwards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Valuation allowance on net operating loss carryforwards and tax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deferred income tax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Deferred income tax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deferred income tax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years ended December 31, 2023, 2022, and 2021, the income attributable to these noncontrolling interests is reported in the Consolidated Statements of Comprehensive Income, but the related U.S. income tax expense attributable to these noncontrolling interests is not reported by the Company as it is the obligation of the individual partners. Income tax expense is also affected by the differing effective tax rates in foreign, state and local jurisdictions where certain of the Company’s subsidiaries are subject to corporate taxation.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Other assets on the Consolidated Statements of Financial Condition at December 31, 2023 and December 31, 2022 are current income tax receivables of $44.3 million and $54.1 million, respectively. These balances primarily comprise income tax benefits due to the Company from federal, state and local, and foreign tax jurisdictions based on income before taxes. Included in Accounts payable, accrued expenses and other liabilities on the Consolidated Statements of Financial Condition at December 31, 2023 and December 31, 2022 are current tax liabilities of $6.8 million and $13.4 million, respectively. These balances primarily comprise income taxes owed to federal, state and local, and foreign tax jurisdictions based on income before taxes.</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arise primarily due to the amortization of the deferred tax assets recognized in connection with the IPO (see Note 4 “Tax Receivable Agreements”), the Acquisition of KCG and the ITG Acquisition, differences in the valuation of financial assets and liabilities, and other temporary differences arising from the deductibility of compensation, depreciation, and other expenses in different time periods for book and income tax return purposes. </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December 31, 2023, the Company did not have any U.S. federal, state or local net operating loss carryforwards and therefore the Company did not record a deferred tax asset related to any federal net operating loss carryforwards. </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acquisitions of ITG and KCG, the Company has non-U.S. net operating losses at December 31, 2023 and 2022 of $304.5 million and $303.9 million, respectively, and has recorded related deferred tax assets of $57.1 million and $57.3 million, respectively. A full valuation allowance was recorded against these deferred tax assets at December 31, 2023 and 2022 as it is more likely than not that these deferred tax assets will not be realized. No valuation allowance against the remaining deferred taxes was recorded as of December 31, 2023 and 2022 because it is more likely than not that these deferred tax assets will be fully realized.</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taxation in U.S. federal, state, local and foreign jurisdictions. As a result of the acquisitions of ITG and KCG, the Company has assumed any ITG and KCG tax exposures. As of December 31, 2023, the Company’s tax years for 2015 through 2022 and 2017 through 2022 are subject to examination by U.S. and non-U.S. tax authorities, respectively. In addition, the Company is subject to state and local income tax examinations in various jurisdictions for the tax years 2013 through 2022. The outcome of these examinations is not yet determinable. However, the Company anticipates that adjustments to the unrecognized tax benefits, if any, will not result in a material change to the financial condition,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operations and cash flows. </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Consolidated Statements of Comprehensive Income.</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$6.8 million of unrecognized tax benefits as of December 31, 2023, all of which would affect the Company’s effective tax rate if recognized. The Company has determined that there are no uncertain tax positions that would have a material impact on the Company’s financial position as of December 31, 2023.</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changes in the liability for unrecognized tax benefits. This liability is included in Accounts payable and accrued expenses and other liabilities on the Consolidated Statements of Financial Condition.</w:t>
      </w:r>
    </w:p>
    <w:tbl>
      <w:tblPr>
        <w:tblW w:w="4895" w:type="dxa"/>
        <w:jc w:val="center"/>
        <w:tblInd w:w="0" w:type="dxa"/>
        <w:tblLayout w:type="fixed"/>
        <w:tblCellMar>
          <w:top w:w="28" w:type="dxa"/>
          <w:left w:w="28" w:type="dxa"/>
          <w:bottom w:w="28" w:type="dxa"/>
          <w:right w:w="28" w:type="dxa"/>
        </w:tblCellMar>
      </w:tblPr>
      <w:tblGrid>
        <w:gridCol w:w="1442"/>
        <w:gridCol w:w="1270"/>
        <w:gridCol w:w="1277"/>
        <w:gridCol w:w="196"/>
        <w:gridCol w:w="556"/>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Decreases based on tax positions related to prior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based on tax positions related to current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Decreases based on tax positions related to prior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based on tax positions related to current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14. Commitments, Contingencies and Guarantees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Legal and Regulatory Proceedings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In the ordinary course of business, the nature of the Company’s business subjects it to claims, lawsuits, regulatory examinations or investigations and other proceedings, any of which could result in the imposition of fines, penalties or other sanctions against the Company. The Company and its subsidiaries are subject to several of these matters at the present time. As previously disclosed, the U.S. Securities and Exchange Commission undertook an investigation of aspects of the Company’s internal information access barriers. The Company cooperated with this civil investigation and engaged in settlement discussions but has been unable to reach a settlement. In September 2023, the SEC filed an action against the Company alleging violations of federal securities laws with respect to the Company’s information barriers policies and procedures for a specified time period in and around January 2018 to April 2019 and related statements made by the Company during such period. The Company believes it has meritorious defenses and is defending itself vigorously.</w:t>
      </w:r>
      <w:r>
        <w:rPr>
          <w:color w:val="000000"/>
        </w:rPr>
        <w:t xml:space="preserve"> </w:t>
      </w:r>
      <w:r>
        <w:rPr>
          <w:rFonts w:ascii="Times New Roman;sans-serif" w:hAnsi="Times New Roman;sans-serif"/>
          <w:b w:val="false"/>
          <w:color w:val="000000"/>
          <w:sz w:val="20"/>
        </w:rPr>
        <w:t>Specifically, the Company is asserting, among other defenses, that it maintained reasonable policies, procedures and controls to protect data during the period consistent with applicable law, that related statements made to clients and investors were true and accurate, and that the statute of limitations has expired with respect to certain claims.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In matters related to the SEC investigation noted above, the Company and certain of its current and former executive officers were named as defendants on May 19, 2023 in </w:t>
      </w:r>
      <w:r>
        <w:rPr>
          <w:rFonts w:ascii="Times New Roman;sans-serif" w:hAnsi="Times New Roman;sans-serif"/>
          <w:b w:val="false"/>
          <w:i/>
          <w:color w:val="000000"/>
          <w:sz w:val="20"/>
        </w:rPr>
        <w:t xml:space="preserve">Hiebert v. Virtu Financial, Inc., </w:t>
      </w:r>
      <w:r>
        <w:rPr>
          <w:rFonts w:ascii="Times New Roman;sans-serif" w:hAnsi="Times New Roman;sans-serif"/>
          <w:b w:val="false"/>
          <w:color w:val="000000"/>
          <w:sz w:val="20"/>
        </w:rPr>
        <w:t>No. 23-cv-03770 and on October 31, 2023 in</w:t>
      </w:r>
      <w:r>
        <w:rPr>
          <w:color w:val="000000"/>
        </w:rPr>
        <w:t xml:space="preserve"> </w:t>
      </w:r>
      <w:r>
        <w:rPr>
          <w:rFonts w:ascii="Times New Roman;sans-serif" w:hAnsi="Times New Roman;sans-serif"/>
          <w:b w:val="false"/>
          <w:i/>
          <w:color w:val="000000"/>
          <w:sz w:val="20"/>
        </w:rPr>
        <w:t xml:space="preserve">City of Birmingham Retirement and Relief System v. Virtu Financial, Inc., </w:t>
      </w:r>
      <w:r>
        <w:rPr>
          <w:rFonts w:ascii="Times New Roman;sans-serif" w:hAnsi="Times New Roman;sans-serif"/>
          <w:b w:val="false"/>
          <w:color w:val="000000"/>
          <w:sz w:val="20"/>
        </w:rPr>
        <w:t xml:space="preserve">No. 23-cv-08123. The complaints were each filed by purported stockholders in the Eastern District of New York on behalf of a putative class and assert that the Company made materially false and misleading statements and omissions in its public filings in violation of federal securities laws. The complaints were subsequently consolidated and recaptioned in </w:t>
      </w:r>
      <w:r>
        <w:rPr>
          <w:rFonts w:ascii="Times New Roman;sans-serif" w:hAnsi="Times New Roman;sans-serif"/>
          <w:b w:val="false"/>
          <w:i/>
          <w:color w:val="000000"/>
          <w:sz w:val="20"/>
        </w:rPr>
        <w:t>re Virtu Financial, Inc. Securities Litigation</w:t>
      </w:r>
      <w:r>
        <w:rPr>
          <w:rFonts w:ascii="Times New Roman;sans-serif" w:hAnsi="Times New Roman;sans-serif"/>
          <w:b w:val="false"/>
          <w:color w:val="000000"/>
          <w:sz w:val="20"/>
        </w:rPr>
        <w:t>, No. 23-cv-03770. The Company also received a request for information related to the SEC investigation pursuant to Section 220 of the Delaware General Corporation Law from counsel for a purported stockholder. The Company believes it has meritorious defenses against pending or contemplated claims that its public disclosures in relation to the SEC investigation were inadequate or misleading. The Company maintains that such disclosures were true and accurate and compliant with applicable law and will defend itself vigorously.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November 30, 2020, the Company was named as a defendant in </w:t>
      </w:r>
      <w:r>
        <w:rPr>
          <w:rFonts w:ascii="Times New Roman;sans-serif" w:hAnsi="Times New Roman;sans-serif"/>
          <w:b w:val="false"/>
          <w:i/>
          <w:color w:val="000000"/>
          <w:sz w:val="20"/>
        </w:rPr>
        <w:t>In re United States Oil Fund, LP Securities Litigation</w:t>
      </w:r>
      <w:r>
        <w:rPr>
          <w:rFonts w:ascii="Times New Roman;sans-serif" w:hAnsi="Times New Roman;sans-serif"/>
          <w:b w:val="false"/>
          <w:color w:val="000000"/>
          <w:sz w:val="20"/>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the motion is fully briefed and pending before the court. The Company believes that the claims are without merit and is defending itself vigorously.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March 7, 2022, the Company was named as a defendant in </w:t>
      </w:r>
      <w:r>
        <w:rPr>
          <w:rFonts w:ascii="Times New Roman;sans-serif" w:hAnsi="Times New Roman;sans-serif"/>
          <w:b w:val="false"/>
          <w:i/>
          <w:color w:val="000000"/>
          <w:sz w:val="20"/>
        </w:rPr>
        <w:t>Iron Workers Local No. 55 Pension Fund v. Virtu Financial, Inc.</w:t>
      </w:r>
      <w:r>
        <w:rPr>
          <w:rFonts w:ascii="Times New Roman;sans-serif" w:hAnsi="Times New Roman;sans-serif"/>
          <w:b w:val="false"/>
          <w:color w:val="000000"/>
          <w:sz w:val="20"/>
        </w:rPr>
        <w:t>, No. 2022-0211-PAF pending in the Court of Chancery of the State of Delaware. The complaint, filed by a purported stockholder, seeks to compel the inspection of certain Company books and records pursuant to Section 220 of the Delaware General Corporation Law. The complaint alleges that the stockholder seeks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has made substantial productions of documents and other information in response to plaintiff's requests. Though no substantive claim has been brought, the Company believes that any potential allegations of wrongdoing are without merit and is defending itself vigorously.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October 17, 2022, the Company’s subsidiary, along with several other parties, was named as a defendant in </w:t>
      </w:r>
      <w:r>
        <w:rPr>
          <w:rFonts w:ascii="Times New Roman;sans-serif" w:hAnsi="Times New Roman;sans-serif"/>
          <w:b w:val="false"/>
          <w:i/>
          <w:color w:val="000000"/>
          <w:sz w:val="20"/>
        </w:rPr>
        <w:t>Mallinckrodt PLC, et al. (Reorganized Debtors); Opioid Master Disbursement Trust II v. Argos Capital Appreciation Master Fund LP et al</w:t>
      </w:r>
      <w:r>
        <w:rPr>
          <w:color w:val="000000"/>
        </w:rPr>
        <w:t xml:space="preserve"> </w:t>
      </w:r>
      <w:r>
        <w:rPr>
          <w:rFonts w:ascii="Times New Roman;sans-serif" w:hAnsi="Times New Roman;sans-serif"/>
          <w:b w:val="false"/>
          <w:color w:val="000000"/>
          <w:sz w:val="20"/>
        </w:rPr>
        <w:t>No. 20-12522. The complaint alleges that Mallinckrodt PLC engaged in a share repurchase program from 2015 through 2018 pursuant to which it repurchased its own shares in various open market transactions, a period during which it was allegedly insolvent. The plaintiff is seeking to unwind the transactions consummated under the program, alleging such transactions constituted fraudulent transfers by the debtor. The Company believes it has meritorious defenses against any unwinding of transactions, which it has asserted, and will continue to defend itself vigorously.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December 1, 2022, the Company’s subsidiary, along with several other parties, was named as a defendant in </w:t>
      </w:r>
      <w:r>
        <w:rPr>
          <w:rFonts w:ascii="Times New Roman;sans-serif" w:hAnsi="Times New Roman;sans-serif"/>
          <w:b w:val="false"/>
          <w:i/>
          <w:color w:val="000000"/>
          <w:sz w:val="20"/>
        </w:rPr>
        <w:t xml:space="preserve">Northwest Biotherapeutics, Inc. v. Canaccord Genuity LLC, et al </w:t>
      </w:r>
      <w:r>
        <w:rPr>
          <w:rFonts w:ascii="Times New Roman;sans-serif" w:hAnsi="Times New Roman;sans-serif"/>
          <w:b w:val="false"/>
          <w:color w:val="000000"/>
          <w:sz w:val="20"/>
        </w:rPr>
        <w:t>No. 1:22-cv-10185. The complaint alleges that defendants engaged in market manipulation in the plaintiff’s stock during a period from 2018 to 2022. The complaint did not specify the amount of alleged damages. The Company believes that the claims are without merit and is defending itself vigorously.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and utilizes its judgment in accordance with applicable accounting standards in booking any associated estimated liability. It is not presently possible to determine the ultimate exposure to these matters and it is possible that the resolution of the outstanding matters will significantly exceed any estimated liabilities accrued by the Company. In addition, there are numerous factors that result in a greater degree of complexity in class-action lawsuits as compared to other types of litigation. There can be no assurance that these various legal proceedings will not significantly exceed any estimated liability accrued by the Company or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Legal and Regulatory Matters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Specifically, in 2022 the SEC proposed several rule changes focused on equity market structure reform. These proposals include, but are not limited to, (i) Proposed Rule 615 of Regulation NMS, which proposes to dramatically change U.S. equities market structure, the routing, handling and potentially the amount, character and cost of retail order flow, (ii) Regulation Best Execution, which would impose best execution requirements on broker-dealers which would be distinct from, but overlapping with, FINRA’s existing best execution rule (Rule 5310), (iii) proposed rule amendments to minimum pricing increments under Rule 612 or Regulation NMS, access fee caps under Rule 610 of Regulation NMS, acceleration of the implementation of certain Market Data Infrastructure Rules, and amendment to the odd-lot information definition adopted under the MDI rules (collectively referred to as the “tick size, access fees and infostructure rule proposals”), and (iv) amendments to Rule 605 of Regulation NMS, along with a series of amendments to the definition of Exchange and Alternative Trading Systems (ATS), which would expand the scope of exchange and ATS registration and compliance requirements. Further, in 2023, the SEC proposed amendments to expand and update Regulation Systems Compliance and Integrity (SCI) and to restrict volume based tiered pricing by equity exchanges in certain cases, approved an amendment to adopt a revised funding model for the Consolidated Audit Trail (CAT), and has indicated that additional rule proposals may be forthcoming. Additionally, rules to amend the definitions of “dealer” and “government securities dealer” within the Exchange Act were recently adopted, and are expected to broaden the scope of these registrant categories. These pending or potential rule changes, to the extent adopted, could adversely affect the Company’s business or the Company’s industry. As indicated above,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 Additional information regarding legal and regulatory risks is described within the “Risk Factors” section under the sub header of “Legal and Regulatory Risks” in the Company’s Annual Report on Form 10-K for the year ended December 31, 2023.</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indicated above, 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Representations and Warranties; Indemnification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leases are primarily for corporate office space, datacenters, and technology equipment. The leases have remaining terms of 1 to 9 years, some of which include options to extend the initial term at the Company's discretion. The lease terms used in calculating ROU assets and lease liabilities include the options to extend the initial term when the Company is reasonably certain of exercising the options. The Company's lease agreements do not contain any material residual value guarantees, restrictions or covenants. In addition to the base rental costs, the Company’s lease agreements for corporate office space generally provide for rent escalations resulting from increased assessments for operating expenses, real estate taxes and other charges. Payments for such reimbursable expenses are considered variable and are recognized as variable lease costs in the period in which the obligation for those payments was incurred.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subleases certain office space and facilities to third parties. The subleases have remaining terms of 1 to 8 years. The Company recognizes amounts received from subleases on a straight-line basis over the term of the sublease within Operations and administrative expense on the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implied discount rate for most of the Company's leases is not readily determinable, the Company uses its incremental borrowing rate on its secured borrowings in determining the present value of lease payments.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the Company ceased use of certain office lease premises as part of efforts to consolidate office space. For the year ended December 31, 2021, the Company recognized $28.1 million in Termination of office leases on the Consolidated Statement of Comprehensive Income, primarily related to the move of our global headquarters, comprising $9.6 million impairments of ROU assets, $17.6 million of write-off of leasehold improvements and fixed assets, and $1 million of dilapidation charges.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and liabilities are summarized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70"/>
        <w:gridCol w:w="757"/>
        <w:gridCol w:w="759"/>
        <w:gridCol w:w="109"/>
        <w:gridCol w:w="109"/>
        <w:gridCol w:w="109"/>
        <w:gridCol w:w="1284"/>
        <w:gridCol w:w="1278"/>
        <w:gridCol w:w="1284"/>
        <w:gridCol w:w="109"/>
        <w:gridCol w:w="109"/>
        <w:gridCol w:w="109"/>
        <w:gridCol w:w="276"/>
        <w:gridCol w:w="1041"/>
        <w:gridCol w:w="154"/>
        <w:gridCol w:w="109"/>
        <w:gridCol w:w="109"/>
        <w:gridCol w:w="109"/>
        <w:gridCol w:w="273"/>
        <w:gridCol w:w="1028"/>
        <w:gridCol w:w="220"/>
      </w:tblGrid>
      <w:tr>
        <w:trPr/>
        <w:tc>
          <w:tcPr>
            <w:tcW w:w="87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187,442 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239,202 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capitalized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27,908 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(12,736)</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and discount rate are as follows:</w:t>
      </w:r>
    </w:p>
    <w:p>
      <w:pPr>
        <w:pStyle w:val="TextBody"/>
        <w:bidi w:val="0"/>
        <w:spacing w:before="0" w:after="0"/>
        <w:ind w:left="0" w:right="0" w:firstLine="720"/>
        <w:jc w:val="center"/>
        <w:rPr/>
      </w:pPr>
      <w:r>
        <w:rPr/>
      </w:r>
    </w:p>
    <w:tbl>
      <w:tblPr>
        <w:tblW w:w="6548" w:type="dxa"/>
        <w:jc w:val="center"/>
        <w:tblInd w:w="0" w:type="dxa"/>
        <w:tblLayout w:type="fixed"/>
        <w:tblCellMar>
          <w:top w:w="28" w:type="dxa"/>
          <w:left w:w="28" w:type="dxa"/>
          <w:bottom w:w="28" w:type="dxa"/>
          <w:right w:w="28" w:type="dxa"/>
        </w:tblCellMar>
      </w:tblPr>
      <w:tblGrid>
        <w:gridCol w:w="1032"/>
        <w:gridCol w:w="907"/>
        <w:gridCol w:w="911"/>
        <w:gridCol w:w="109"/>
        <w:gridCol w:w="109"/>
        <w:gridCol w:w="109"/>
        <w:gridCol w:w="356"/>
        <w:gridCol w:w="356"/>
        <w:gridCol w:w="788"/>
        <w:gridCol w:w="109"/>
        <w:gridCol w:w="109"/>
        <w:gridCol w:w="109"/>
        <w:gridCol w:w="333"/>
        <w:gridCol w:w="333"/>
        <w:gridCol w:w="878"/>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 years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years</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6.40 </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5.43 </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5.51 </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p>
      <w:pPr>
        <w:pStyle w:val="TextBody"/>
        <w:bidi w:val="0"/>
        <w:spacing w:before="0" w:after="0"/>
        <w:ind w:left="0" w:right="0" w:firstLine="720"/>
        <w:jc w:val="left"/>
        <w:rPr/>
      </w:pPr>
      <w:r>
        <w:rPr/>
      </w:r>
    </w:p>
    <w:tbl>
      <w:tblPr>
        <w:tblW w:w="6339" w:type="dxa"/>
        <w:jc w:val="center"/>
        <w:tblInd w:w="0" w:type="dxa"/>
        <w:tblLayout w:type="fixed"/>
        <w:tblCellMar>
          <w:top w:w="28" w:type="dxa"/>
          <w:left w:w="28" w:type="dxa"/>
          <w:bottom w:w="28" w:type="dxa"/>
          <w:right w:w="28" w:type="dxa"/>
        </w:tblCellMar>
      </w:tblPr>
      <w:tblGrid>
        <w:gridCol w:w="733"/>
        <w:gridCol w:w="644"/>
        <w:gridCol w:w="647"/>
        <w:gridCol w:w="109"/>
        <w:gridCol w:w="109"/>
        <w:gridCol w:w="109"/>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ROU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ROU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in Part II Item 8 “Financial Statements and Supplementary Data” of this Form 10-K for details on the classification of these expenses in the Consolidated Statements of Comprehensive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operating and finance leases with non-cancelable lease terms, as of December 31, 2023, are as follows:</w:t>
      </w:r>
    </w:p>
    <w:p>
      <w:pPr>
        <w:pStyle w:val="TextBody"/>
        <w:bidi w:val="0"/>
        <w:spacing w:before="0" w:after="0"/>
        <w:jc w:val="left"/>
        <w:rPr/>
      </w:pPr>
      <w:r>
        <w:rPr/>
      </w:r>
    </w:p>
    <w:tbl>
      <w:tblPr>
        <w:tblW w:w="4824" w:type="dxa"/>
        <w:jc w:val="center"/>
        <w:tblInd w:w="0" w:type="dxa"/>
        <w:tblLayout w:type="fixed"/>
        <w:tblCellMar>
          <w:top w:w="28" w:type="dxa"/>
          <w:left w:w="28" w:type="dxa"/>
          <w:bottom w:w="28" w:type="dxa"/>
          <w:right w:w="28" w:type="dxa"/>
        </w:tblCellMar>
      </w:tblPr>
      <w:tblGrid>
        <w:gridCol w:w="570"/>
        <w:gridCol w:w="502"/>
        <w:gridCol w:w="503"/>
        <w:gridCol w:w="109"/>
        <w:gridCol w:w="109"/>
        <w:gridCol w:w="109"/>
        <w:gridCol w:w="257"/>
        <w:gridCol w:w="965"/>
        <w:gridCol w:w="143"/>
        <w:gridCol w:w="109"/>
        <w:gridCol w:w="109"/>
        <w:gridCol w:w="109"/>
        <w:gridCol w:w="242"/>
        <w:gridCol w:w="798"/>
        <w:gridCol w:w="190"/>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557"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76,295 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31,278 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328,321 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33,078 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278,317 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29,609 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Cash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together with restricted or segregated cash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reported within the Consolidated Statements of Financial Condition to the sum of the same such amounts shown in the Consolidated Statements of Cash Flows.</w:t>
      </w:r>
    </w:p>
    <w:p>
      <w:pPr>
        <w:pStyle w:val="TextBody"/>
        <w:bidi w:val="0"/>
        <w:spacing w:before="0" w:after="0"/>
        <w:jc w:val="left"/>
        <w:rPr/>
      </w:pPr>
      <w:r>
        <w:rPr/>
      </w:r>
    </w:p>
    <w:tbl>
      <w:tblPr>
        <w:tblW w:w="9637" w:type="dxa"/>
        <w:jc w:val="center"/>
        <w:tblInd w:w="0" w:type="dxa"/>
        <w:tblLayout w:type="fixed"/>
        <w:tblCellMar>
          <w:top w:w="28" w:type="dxa"/>
          <w:left w:w="28" w:type="dxa"/>
          <w:bottom w:w="28" w:type="dxa"/>
          <w:right w:w="28" w:type="dxa"/>
        </w:tblCellMar>
      </w:tblPr>
      <w:tblGrid>
        <w:gridCol w:w="2146"/>
        <w:gridCol w:w="1892"/>
        <w:gridCol w:w="1901"/>
        <w:gridCol w:w="109"/>
        <w:gridCol w:w="109"/>
        <w:gridCol w:w="109"/>
        <w:gridCol w:w="282"/>
        <w:gridCol w:w="1061"/>
        <w:gridCol w:w="157"/>
        <w:gridCol w:w="109"/>
        <w:gridCol w:w="109"/>
        <w:gridCol w:w="109"/>
        <w:gridCol w:w="248"/>
        <w:gridCol w:w="1102"/>
        <w:gridCol w:w="194"/>
      </w:tblGrid>
      <w:tr>
        <w:trPr/>
        <w:tc>
          <w:tcPr>
            <w:tcW w:w="2146"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820,436 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981,580 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 shown in the statement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855,460 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1,038,242 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17. Capital Structure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86.5% of the combined voting power of our common stock as a result of its ownership of our Class A, Class C and Class D Common Stock. The Company holds approximately a 57.8% interest in Virtu Financial at December 31,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 prior to the Company's IPO and certain reorganization transactions consummated in connection with the IPO, Class A-2 profits interests and Class B interests in Virtu Financial were issued to Employee Holdco (as defined below) on behalf of certain key employees and stakeholders. In connection with these reorganization transactions, all Class A-2 profits interests and Class B interests were reclassified into Virtu Financial Units. As of December 31, 2023 and December 31, 2022, there were 4,040,772 and 4,462,840 Virtu Financial Units outstanding held by Employee Holdco (as defined below), respectively, and 422,068, 328,999, and 467,874 of such Virtu Financial Units and corresponding Class C Common Stock were exchanged into Class A Common Stock, forfeited or repurchased during the years ended December 31, 2023, 2022, and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Amended and Restated 2015 Management Incentive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Board of Directors and stockholders adopted the 2015 Management Incentive Plan, which became effective upon consummation of the IPO, and was subsequently amended and restated following receipt of approval from the Company’s stockholders on June 30, 2017, June 5, 2020 and June 2, 2022. The Amended and Restated 2015 Management Incentive Plan provides for the grant of stock options, restricted stock units, and other awards based on an aggregate of 26,000,000 shares of Class A Common Stock, subject to additional sublimits, including limits on the total option grant to any one participant in a single year and the total performance award to any one participant in a single year.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Amended and Restated Investment Technology Group, Inc. 2007 Omnibus Equity Compensation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6, 2020, the Company's Board of Directors authorized a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an additional $300 million in Class A Common Stock and Virtu Financial Units and extending the duration of the program through May 4, 2022. On November 3, 2021 the Company's Board of Directors authorized another expansion of the program by an additional $750 million to $1,220 million and extending the duration of the program through November 3, 2023, which was subsequently extended through December 31, 2024.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December 31, 2023, the Company repurchased approximately 43.6 million shares of Class A Common Stock and Virtu Financial Units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$1,109.6 million. As of December 31, 2023, the Company has approximately $110.4 million remaining capacity for future purchases of shares of Class A Common Stock and Virtu Financial Units under the program.</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Employee Exchanges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pursuant to the exchange agreement by and among the Company, Virtu Financial and holders of Virtu Financial Units, certain current and former employees elected to exchange 186,394, 92,930, and 747,849 units, respectively in Virtu Financial held directly or on their behalf by Virtu Employee Holdco LLC (“Employee Holdco”) on a one-for-one basis for shares of Class A Common Stock.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Warrant Issuance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20, 2020, in connection with and in consideration of the Founder Member’s commitments under the Founder Member Loan Facility (as described in Note 8 “Borrowings”), the Company delivered to the Founder Member a warrant (the “Warrant”) to purchase shares of the Company’s Class A Common Stock. Pursuant to the Warrant, the Founder Member was entitled to purchase up to 3,000,000 shares of Class A Common Stock on or after May 22, 2020 up to and including January 15, 2022. The Founder Member Loan Facility Term expired on September 20, 2020 without the Company having borrowed any Founder Member Loans thereunder (as described in Note 8 “Borrowings”). The exercise price per share of the Class A Common Stock issuable pursuant to the Warrant was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On December 17, 2021, the Founder Member exercised in full the Warrant to purchase 3,000,000 shares of the Company's Class A Common Stock. The Warrant and Class A Common Stock issued pursuant to the Warrant were offered, issued and sold, in reliance on the exemption from the registration requirements of the Securities Act of 1933, as amended (the “Securities Act”), set forth under Section 4(a)(2) of the Securities Act relating to sales by an issuer not involving any public offering.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issuance, the fair value of the Warrant was determined using a Black-Scholes-Merton model, and was recorded as a debt issuance cost within Other assets on the Consolidated Statements of Financial Condition and as an increase to Additional paid-in capital on the Consolidated Statements of Changes in Equity. The balance was amortized on a straight-line basis from March 20, 2020 through September 20, 2020, the date on which the Founder Member Loan Facility expired, and recorded as expense within Debt issue cost related to debt refinancing, prepayment and commitment fees in the Consolidated Statements of Comprehensive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Other Comprehensive Income for the years ended December 31, 2023 and 2022:</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74"/>
        <w:gridCol w:w="749"/>
        <w:gridCol w:w="751"/>
        <w:gridCol w:w="127"/>
        <w:gridCol w:w="127"/>
        <w:gridCol w:w="127"/>
        <w:gridCol w:w="296"/>
        <w:gridCol w:w="1043"/>
        <w:gridCol w:w="164"/>
        <w:gridCol w:w="127"/>
        <w:gridCol w:w="127"/>
        <w:gridCol w:w="127"/>
        <w:gridCol w:w="268"/>
        <w:gridCol w:w="886"/>
        <w:gridCol w:w="149"/>
        <w:gridCol w:w="127"/>
        <w:gridCol w:w="127"/>
        <w:gridCol w:w="127"/>
        <w:gridCol w:w="393"/>
        <w:gridCol w:w="1402"/>
        <w:gridCol w:w="218"/>
        <w:gridCol w:w="127"/>
        <w:gridCol w:w="127"/>
        <w:gridCol w:w="127"/>
        <w:gridCol w:w="278"/>
        <w:gridCol w:w="977"/>
        <w:gridCol w:w="233"/>
      </w:tblGrid>
      <w:tr>
        <w:trPr/>
        <w:tc>
          <w:tcPr>
            <w:tcW w:w="87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Beginning Balance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recorded</w:t>
              <w:br/>
              <w:t>in AOCI</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reclassified from AOCI to income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Ending Balance</w:t>
            </w:r>
          </w:p>
        </w:tc>
      </w:tr>
      <w:tr>
        <w:trPr/>
        <w:tc>
          <w:tcPr>
            <w:tcW w:w="2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change in unrealized cash flow hedges gains (losses) (1)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44,925 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(30,307)</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23,416 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exchange translation adjustment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31,604 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15,750 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(30,307)</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17,047 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Amounts reclassified from AOCI to income are included within Financing interest expense on long-term borrowings on the Consolidated Statements of Comprehensive Income. As of December 31, 2023, the Company expects approximately $33.3 million to be reclassified from AOCI into earnings over the next 12 months. The timing of the reclassification is based on the interest payment schedule of the long-term borrowings.</w:t>
            </w:r>
          </w:p>
        </w:tc>
      </w:tr>
      <w:tr>
        <w:trPr/>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Beginning Balance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recorded</w:t>
              <w:br/>
              <w:t>in AOCI</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reclassified from AOCI to income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Ending Balance</w:t>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cash flow hedges gains (losses) (1)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55,955 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44,925 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exchange translation adjustment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(10,196)</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42,350 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31,604 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 Amounts reclassified from AOCI to income are included within Financing interest expense on long-term borrowings on the Consolidated Statements of Comprehensive Income.</w:t>
            </w:r>
          </w:p>
        </w:tc>
      </w:tr>
      <w:tr>
        <w:trPr/>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Beginning Balance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recorded</w:t>
              <w:br/>
              <w:t>in AOCI</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reclassified from AOCI to income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Ending Balance</w:t>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cash flow hedges gains (losses) (1)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(33,444)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14,590 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(10,480)</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exchange translation adjustment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(25,487)</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14,590 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(10,196)</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 Amounts reclassified from AOCI to income are included within Financing interest expense on long-term borrowings on the Consolidated Statements of Comprehensive Income.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18. 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2015 Management Incentive Plan as described in Note 17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related to stock options for the years ended December 31, 2023, 2022, and 2021:</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18"/>
        <w:gridCol w:w="368"/>
        <w:gridCol w:w="369"/>
        <w:gridCol w:w="499"/>
        <w:gridCol w:w="419"/>
        <w:gridCol w:w="331"/>
        <w:gridCol w:w="109"/>
        <w:gridCol w:w="109"/>
        <w:gridCol w:w="109"/>
        <w:gridCol w:w="402"/>
        <w:gridCol w:w="1141"/>
        <w:gridCol w:w="223"/>
        <w:gridCol w:w="109"/>
        <w:gridCol w:w="109"/>
        <w:gridCol w:w="109"/>
        <w:gridCol w:w="647"/>
        <w:gridCol w:w="647"/>
        <w:gridCol w:w="649"/>
        <w:gridCol w:w="109"/>
        <w:gridCol w:w="109"/>
        <w:gridCol w:w="109"/>
        <w:gridCol w:w="499"/>
        <w:gridCol w:w="419"/>
        <w:gridCol w:w="331"/>
        <w:gridCol w:w="109"/>
        <w:gridCol w:w="109"/>
        <w:gridCol w:w="109"/>
        <w:gridCol w:w="329"/>
        <w:gridCol w:w="937"/>
        <w:gridCol w:w="26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 Exercisable</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br/>
              <w:t>Per Share</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2020</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2,324,152 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2,324,152 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(528,497)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(528,497)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 or expired</w:t>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2021</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1,795,655 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1,795,655 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(268,879)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(268,879)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 or expired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2022</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1,521,776 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1,521,776 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 or expired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2023</w:t>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1,511,776 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1,511,776 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Amended and Restated Investment Technology Group, Inc. 2007 Omnibus Equity Compensation Plan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the ITG Closing Date, the Company assumed the Amended and Restated ITG 2007 Equity Plan and certain stock option awards, restricted stock unit awards, deferred stock unit awards and performance stock unit awards granted thereunder </w:t>
      </w:r>
      <w:r>
        <w:rPr>
          <w:rFonts w:ascii="Times New Roman;sans-serif" w:hAnsi="Times New Roman;sans-serif"/>
          <w:b w:val="false"/>
          <w:color w:val="000000"/>
          <w:sz w:val="24"/>
        </w:rPr>
        <w:t>(</w:t>
      </w:r>
      <w:r>
        <w:rPr>
          <w:rFonts w:ascii="Times New Roman;sans-serif" w:hAnsi="Times New Roman;sans-serif"/>
          <w:b w:val="false"/>
          <w:color w:val="000000"/>
          <w:sz w:val="20"/>
        </w:rPr>
        <w:t>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Class A Common Stock, Restricted Stock Units and Restricted Stock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2015 Management Incentive Plan as described in Note 17 “Capital Structure”, subsequent to the IPO, shares of immediately vested Class A Common Stock, restricted stock units (“RSUs”) and restricted stock awards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years ended December 31, 2023, 2022, and 2021, respectively, there were 868,315, 580,710, and 633,938 shares of immediately vested Class A Common Stock granted as part of year-end compensation. In addition, the Company accrued compensation expense of $22.2 million, $31.9 million, and $29.4 million for the years ended December 31, 2023, 2022, and 2021, respectively, related to immediately vested Class A Common Stock expected to be awarded as part of year-end incentive compensation, which was included in Employee compensation and payroll taxes on the Consolidated Statements of Comprehensive Income and Accounts payable, accrued expenses and other liabilities on the Consolidated Statements of Financial Condition.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related to RSUs (including the Assumed Awards) and RSAs for the years ended December 31, 2023, 2022, and 2021:</w:t>
      </w:r>
    </w:p>
    <w:tbl>
      <w:tblPr>
        <w:tblW w:w="10205" w:type="dxa"/>
        <w:jc w:val="center"/>
        <w:tblInd w:w="0" w:type="dxa"/>
        <w:tblLayout w:type="fixed"/>
        <w:tblCellMar>
          <w:top w:w="28" w:type="dxa"/>
          <w:left w:w="28" w:type="dxa"/>
          <w:bottom w:w="28" w:type="dxa"/>
          <w:right w:w="28" w:type="dxa"/>
        </w:tblCellMar>
      </w:tblPr>
      <w:tblGrid>
        <w:gridCol w:w="1086"/>
        <w:gridCol w:w="955"/>
        <w:gridCol w:w="958"/>
        <w:gridCol w:w="1313"/>
        <w:gridCol w:w="1176"/>
        <w:gridCol w:w="1181"/>
        <w:gridCol w:w="209"/>
        <w:gridCol w:w="209"/>
        <w:gridCol w:w="209"/>
        <w:gridCol w:w="627"/>
        <w:gridCol w:w="1784"/>
        <w:gridCol w:w="498"/>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RSUs and RSAs</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Fair Value </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2020</w:t>
            </w:r>
          </w:p>
        </w:tc>
        <w:tc>
          <w:tcPr>
            <w:tcW w:w="2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3,393,084 </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2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2,466,311 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27.07 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2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(200,697)</w:t>
            </w:r>
          </w:p>
        </w:tc>
        <w:tc>
          <w:tcPr>
            <w:tcW w:w="1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2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(2,434,251)</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2021</w:t>
            </w:r>
          </w:p>
        </w:tc>
        <w:tc>
          <w:tcPr>
            <w:tcW w:w="2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3,224,447 </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 (1)</w:t>
            </w:r>
          </w:p>
        </w:tc>
        <w:tc>
          <w:tcPr>
            <w:tcW w:w="2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3,046,623 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29.83 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2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(419,207)</w:t>
            </w:r>
          </w:p>
        </w:tc>
        <w:tc>
          <w:tcPr>
            <w:tcW w:w="1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2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(1,897,030)</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670"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2909"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670"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2909"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2022</w:t>
            </w:r>
          </w:p>
        </w:tc>
        <w:tc>
          <w:tcPr>
            <w:tcW w:w="2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3,954,833 </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 (1)</w:t>
            </w:r>
          </w:p>
        </w:tc>
        <w:tc>
          <w:tcPr>
            <w:tcW w:w="2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3,763,217 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19.28 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2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(187,053)</w:t>
            </w:r>
          </w:p>
        </w:tc>
        <w:tc>
          <w:tcPr>
            <w:tcW w:w="1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26.45 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2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(2,627,823)</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23.46 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2023</w:t>
            </w:r>
          </w:p>
        </w:tc>
        <w:tc>
          <w:tcPr>
            <w:tcW w:w="24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4,903,174 </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Excluded in the number of RSUs and RSAs are 37,500 and 75,000 participating RSAs for December 31, 2023 and 2022, respectively, where the grant date has not been achieved because the performance conditions have not been met.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$42.5 million, $36.2 million, and $26.4 million for the years ended December 31, 2023, 2022, and 2021, respectively, of compensation expense in relation to RSUs. As of December 31, 2023 and December 31, 2022, total unrecognized share-based compensation expense related to unvested RSUs was $55.2 million and $54.6 million, respectively, and this amount is to be recognized over a weighted average period of 0.9 years and 0.9 years,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Awards in which the specific performance conditions have not been met are not included in unrecognized share-based compensation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19. Property, Equipment and Capitalized Software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capitalized software consisted of the following at December 31, 2023 and December 31, 2022:</w:t>
      </w:r>
    </w:p>
    <w:p>
      <w:pPr>
        <w:pStyle w:val="TextBody"/>
        <w:bidi w:val="0"/>
        <w:spacing w:lineRule="auto" w:line="288" w:before="0" w:after="0"/>
        <w:jc w:val="left"/>
        <w:rPr>
          <w:color w:val="000000"/>
        </w:rPr>
      </w:pPr>
      <w:r>
        <w:rPr>
          <w:color w:val="000000"/>
        </w:rPr>
        <w:t>    </w:t>
      </w:r>
    </w:p>
    <w:tbl>
      <w:tblPr>
        <w:tblW w:w="7659" w:type="dxa"/>
        <w:jc w:val="center"/>
        <w:tblInd w:w="0" w:type="dxa"/>
        <w:tblLayout w:type="fixed"/>
        <w:tblCellMar>
          <w:top w:w="28" w:type="dxa"/>
          <w:left w:w="28" w:type="dxa"/>
          <w:bottom w:w="28" w:type="dxa"/>
          <w:right w:w="28" w:type="dxa"/>
        </w:tblCellMar>
      </w:tblPr>
      <w:tblGrid>
        <w:gridCol w:w="1431"/>
        <w:gridCol w:w="1261"/>
        <w:gridCol w:w="1268"/>
        <w:gridCol w:w="109"/>
        <w:gridCol w:w="109"/>
        <w:gridCol w:w="109"/>
        <w:gridCol w:w="282"/>
        <w:gridCol w:w="1061"/>
        <w:gridCol w:w="157"/>
        <w:gridCol w:w="109"/>
        <w:gridCol w:w="109"/>
        <w:gridCol w:w="109"/>
        <w:gridCol w:w="279"/>
        <w:gridCol w:w="1047"/>
        <w:gridCol w:w="219"/>
      </w:tblGrid>
      <w:tr>
        <w:trPr/>
        <w:tc>
          <w:tcPr>
            <w:tcW w:w="143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136,873 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242,769 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Furniture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309,083 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468,144 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545,957 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(367,779)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(460,763)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property, equipment and capitalized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100,365 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85,194 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property and equipment for the years ended December 31, 2023, 2022, and 2021 was approximately $25.6 million, $26.1 million, and $28.4 million, respectively, and is included within depreciation and amortization expense in the Consolidated Statements of Comprehensive Income.</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capitalized software development costs were approximately $40.4 million, $35.5 million, and $35.8 million for the years ended December 31, 2023, 2022, and 2021, respectively. The related amortization expense was approximately $37.7 million, $40.2 million, and $39.4 million for the years ended December 31, 2023, 2022, and 2021, respectively, and is included within Depreciation and amortization in the Consolidated Statements of Comprehensive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20. Regulatory Requirement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 Subsidiary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U.S. broker-dealer subsidiaries VAL and RFQ-Hub Americas LLC (“RAL”), are subject to the SEC Uniform Net Capital Rule 15c3-1, which requires the maintenance of minimum net capital as detailed in the table below. RAL became a U.S. broker-dealer in June 2023. Pursuant to New York Stock Exchange (“NYSE”) rules, VAL was also required to maintain $1.0 million of capital in connection with the operation of its designated market maker (“DMM”) business as of December 31, 2023. The required amount is determined under the exchange rules as the greater of (i) $1.0 million or (ii) $75,000 for every 0.1% of NYSE transaction dollar volume in each of the securities for which the Company is registered as the DMM.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capital and regulatory capital requirements of the Company's U.S. subsidiaries as of December 31, 2023 was as follows:</w:t>
      </w:r>
    </w:p>
    <w:tbl>
      <w:tblPr>
        <w:tblW w:w="8899" w:type="dxa"/>
        <w:jc w:val="center"/>
        <w:tblInd w:w="0" w:type="dxa"/>
        <w:tblLayout w:type="fixed"/>
        <w:tblCellMar>
          <w:top w:w="28" w:type="dxa"/>
          <w:left w:w="28" w:type="dxa"/>
          <w:bottom w:w="28" w:type="dxa"/>
          <w:right w:w="28" w:type="dxa"/>
        </w:tblCellMar>
      </w:tblPr>
      <w:tblGrid>
        <w:gridCol w:w="667"/>
        <w:gridCol w:w="587"/>
        <w:gridCol w:w="591"/>
        <w:gridCol w:w="109"/>
        <w:gridCol w:w="109"/>
        <w:gridCol w:w="109"/>
        <w:gridCol w:w="285"/>
        <w:gridCol w:w="1071"/>
        <w:gridCol w:w="158"/>
        <w:gridCol w:w="109"/>
        <w:gridCol w:w="109"/>
        <w:gridCol w:w="109"/>
        <w:gridCol w:w="565"/>
        <w:gridCol w:w="1608"/>
        <w:gridCol w:w="317"/>
        <w:gridCol w:w="109"/>
        <w:gridCol w:w="109"/>
        <w:gridCol w:w="109"/>
        <w:gridCol w:w="373"/>
        <w:gridCol w:w="1403"/>
        <w:gridCol w:w="29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Americas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412,626 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411,626 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RFQ-Hub Americas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As of December 31, 2023, VAL</w:t>
      </w:r>
      <w:r>
        <w:rPr>
          <w:color w:val="000000"/>
        </w:rPr>
        <w:t xml:space="preserve"> </w:t>
      </w:r>
      <w:r>
        <w:rPr>
          <w:rFonts w:ascii="Times New Roman;sans-serif" w:hAnsi="Times New Roman;sans-serif"/>
          <w:b w:val="false"/>
          <w:color w:val="000000"/>
          <w:sz w:val="20"/>
        </w:rPr>
        <w:t xml:space="preserve">had $28.7 million of cash in special reserve bank accounts for the benefit of customers pursuant to SEC Rule 15c3-3, </w:t>
      </w:r>
      <w:r>
        <w:rPr>
          <w:rFonts w:ascii="Times New Roman;sans-serif" w:hAnsi="Times New Roman;sans-serif"/>
          <w:b w:val="false"/>
          <w:i/>
          <w:color w:val="000000"/>
          <w:sz w:val="20"/>
        </w:rPr>
        <w:t xml:space="preserve">Computation for Determination of Reserve Requirements, </w:t>
      </w:r>
      <w:r>
        <w:rPr>
          <w:rFonts w:ascii="Times New Roman;sans-serif" w:hAnsi="Times New Roman;sans-serif"/>
          <w:b w:val="false"/>
          <w:color w:val="000000"/>
          <w:sz w:val="20"/>
        </w:rPr>
        <w:t>and $6.1 million of cash in reserve bank accounts for the benefit of proprietary accounts of brokers. The balances are included within Cash restricted or segregated under regulations and other on the Consolidated Statements of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capital and regulatory capital requirements of the Company's U.S. subsidiaries as of December 31, 2022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before="0" w:after="0"/>
        <w:jc w:val="left"/>
        <w:rPr/>
      </w:pPr>
      <w:r>
        <w:rPr/>
      </w:r>
    </w:p>
    <w:tbl>
      <w:tblPr>
        <w:tblW w:w="8584" w:type="dxa"/>
        <w:jc w:val="center"/>
        <w:tblInd w:w="0" w:type="dxa"/>
        <w:tblLayout w:type="fixed"/>
        <w:tblCellMar>
          <w:top w:w="28" w:type="dxa"/>
          <w:left w:w="28" w:type="dxa"/>
          <w:bottom w:w="28" w:type="dxa"/>
          <w:right w:w="28" w:type="dxa"/>
        </w:tblCellMar>
      </w:tblPr>
      <w:tblGrid>
        <w:gridCol w:w="553"/>
        <w:gridCol w:w="487"/>
        <w:gridCol w:w="490"/>
        <w:gridCol w:w="109"/>
        <w:gridCol w:w="109"/>
        <w:gridCol w:w="109"/>
        <w:gridCol w:w="285"/>
        <w:gridCol w:w="1071"/>
        <w:gridCol w:w="158"/>
        <w:gridCol w:w="109"/>
        <w:gridCol w:w="109"/>
        <w:gridCol w:w="109"/>
        <w:gridCol w:w="565"/>
        <w:gridCol w:w="1608"/>
        <w:gridCol w:w="317"/>
        <w:gridCol w:w="109"/>
        <w:gridCol w:w="109"/>
        <w:gridCol w:w="109"/>
        <w:gridCol w:w="373"/>
        <w:gridCol w:w="1403"/>
        <w:gridCol w:w="293"/>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Americas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554,550 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553,550 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As of December 31, 2022, VAL had $50.2 million of cash in special reserve bank accounts for the benefit of customers pursuant to SEC Rule 15c3-3, </w:t>
      </w:r>
      <w:r>
        <w:rPr>
          <w:rFonts w:ascii="Times New Roman;sans-serif" w:hAnsi="Times New Roman;sans-serif"/>
          <w:b w:val="false"/>
          <w:i/>
          <w:color w:val="000000"/>
          <w:sz w:val="20"/>
        </w:rPr>
        <w:t xml:space="preserve">Computation for Determination of Reserve Requirements, </w:t>
      </w:r>
      <w:r>
        <w:rPr>
          <w:rFonts w:ascii="Times New Roman;sans-serif" w:hAnsi="Times New Roman;sans-serif"/>
          <w:b w:val="false"/>
          <w:color w:val="000000"/>
          <w:sz w:val="20"/>
        </w:rPr>
        <w:t>and $5.8 million of cash in reserve bank accounts for the benefit of proprietary accounts of brokers.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Foreign Subsidiaries</w:t>
      </w:r>
      <w:r>
        <w:rPr>
          <w:color w:val="000000"/>
        </w:rPr>
        <w: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foreign subsidiaries are subject to regulatory capital requirements set by local regulatory bodies, including the Canadian Investment Regulatory Organization (“CIRO”), the Central Bank of Ireland (“CBI”), the Financial Conduct Authority (“FCA”) in the United Kingdom, the Australian Securities and Investments Commission (“ASIC”), the Securities and Futures Commission in Hong Kong (“SFC”), and the Monetary Authority of Singapore (“MAS”).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net capital balances and regulatory capital requirements applicable to the Company's foreign subsidiaries as of December 31, 2023 were as follows:</w:t>
      </w:r>
    </w:p>
    <w:tbl>
      <w:tblPr>
        <w:tblW w:w="9589" w:type="dxa"/>
        <w:jc w:val="center"/>
        <w:tblInd w:w="0" w:type="dxa"/>
        <w:tblLayout w:type="fixed"/>
        <w:tblCellMar>
          <w:top w:w="28" w:type="dxa"/>
          <w:left w:w="28" w:type="dxa"/>
          <w:bottom w:w="28" w:type="dxa"/>
          <w:right w:w="28" w:type="dxa"/>
        </w:tblCellMar>
      </w:tblPr>
      <w:tblGrid>
        <w:gridCol w:w="917"/>
        <w:gridCol w:w="807"/>
        <w:gridCol w:w="811"/>
        <w:gridCol w:w="109"/>
        <w:gridCol w:w="109"/>
        <w:gridCol w:w="109"/>
        <w:gridCol w:w="312"/>
        <w:gridCol w:w="1029"/>
        <w:gridCol w:w="173"/>
        <w:gridCol w:w="109"/>
        <w:gridCol w:w="109"/>
        <w:gridCol w:w="109"/>
        <w:gridCol w:w="670"/>
        <w:gridCol w:w="1442"/>
        <w:gridCol w:w="377"/>
        <w:gridCol w:w="109"/>
        <w:gridCol w:w="109"/>
        <w:gridCol w:w="109"/>
        <w:gridCol w:w="407"/>
        <w:gridCol w:w="1343"/>
        <w:gridCol w:w="320"/>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Canada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Canada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Europe Trading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86,370 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27,821 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58,549 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Ireland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40,459 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48,480 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Australia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24,788 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20,932 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Hong Kong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Singapore Pte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Singapore Pte.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126,022 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73,407 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52,615 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Virtu Europe Trading Limited had $36 thousand of segregated funds on deposit for trade clearing and settlement activity, and Virtu ITG Hong Kong Ltd. had $30 thousand of segregated balances under a collateral account control agreement for the benefit of certain 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net capital balances and regulatory capital requirements applicable to the Company's foreign subsidiaries as of December 31, 2022 were as follows:</w:t>
      </w:r>
    </w:p>
    <w:tbl>
      <w:tblPr>
        <w:tblW w:w="9589" w:type="dxa"/>
        <w:jc w:val="center"/>
        <w:tblInd w:w="0" w:type="dxa"/>
        <w:tblLayout w:type="fixed"/>
        <w:tblCellMar>
          <w:top w:w="28" w:type="dxa"/>
          <w:left w:w="28" w:type="dxa"/>
          <w:bottom w:w="28" w:type="dxa"/>
          <w:right w:w="28" w:type="dxa"/>
        </w:tblCellMar>
      </w:tblPr>
      <w:tblGrid>
        <w:gridCol w:w="917"/>
        <w:gridCol w:w="807"/>
        <w:gridCol w:w="811"/>
        <w:gridCol w:w="109"/>
        <w:gridCol w:w="109"/>
        <w:gridCol w:w="109"/>
        <w:gridCol w:w="312"/>
        <w:gridCol w:w="1029"/>
        <w:gridCol w:w="173"/>
        <w:gridCol w:w="109"/>
        <w:gridCol w:w="109"/>
        <w:gridCol w:w="109"/>
        <w:gridCol w:w="670"/>
        <w:gridCol w:w="1442"/>
        <w:gridCol w:w="377"/>
        <w:gridCol w:w="109"/>
        <w:gridCol w:w="109"/>
        <w:gridCol w:w="109"/>
        <w:gridCol w:w="407"/>
        <w:gridCol w:w="1343"/>
        <w:gridCol w:w="320"/>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Canada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Canada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Europe Trading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50,332 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Ireland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39,768 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50,085 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Australia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3,115 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26,912 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Hong Kong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Singapore Pte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Singapore Pte.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46,025 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75,141 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Virtu Europe Trading Limited and Virtu Canada Corp had $0.1 million and $0.4 million, respectively, of funds on deposit for trade clearing and settlement activity, and Virtu ITG Hong Kong Ltd had $30 thousand of segregated balances under a collateral account control agreement for the benefit of certain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21. Geographic Information and Business Segments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years ended December 31, 2023, 2022, and 2021</w:t>
      </w:r>
      <w:r>
        <w:rPr>
          <w:rFonts w:ascii="Times New Roman;sans-serif" w:hAnsi="Times New Roman;sans-serif"/>
          <w:b w:val="false"/>
          <w:color w:val="000000"/>
          <w:sz w:val="18"/>
        </w:rPr>
        <w:t>:</w:t>
      </w:r>
    </w:p>
    <w:tbl>
      <w:tblPr>
        <w:tblW w:w="278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9" w:type="dxa"/>
            <w:gridSpan w:val="1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6130" w:type="dxa"/>
        <w:jc w:val="center"/>
        <w:tblInd w:w="0" w:type="dxa"/>
        <w:tblLayout w:type="fixed"/>
        <w:tblCellMar>
          <w:top w:w="28" w:type="dxa"/>
          <w:left w:w="28" w:type="dxa"/>
          <w:bottom w:w="28" w:type="dxa"/>
          <w:right w:w="28" w:type="dxa"/>
        </w:tblCellMar>
      </w:tblPr>
      <w:tblGrid>
        <w:gridCol w:w="412"/>
        <w:gridCol w:w="363"/>
        <w:gridCol w:w="365"/>
        <w:gridCol w:w="109"/>
        <w:gridCol w:w="109"/>
        <w:gridCol w:w="109"/>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2,260,750 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2,811,485 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segments: (i) Market Making and (ii) Execution Services; and one non-operating segment: Corporate.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Making segment principally consists of market making in the cash, futures, and options markets across global equities,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Corporate segment contains the Company's investments, principally in strategic trading-related opportunities and maintains corporate overhead expenses and all other income and expenses that are not attributable to the Company's other segments.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evaluates the performance of its segments on a pre-tax basis. Segment assets and liabilities are not used for evaluating segment performance or in deciding how to allocate resources to segments. The Company’s total revenues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and noncontrolling interest (“Pre-tax earnings”) by segment for the years ended December 31, 2023, 2022, and 2021 are summarized in the following table:</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85"/>
        <w:gridCol w:w="1310"/>
        <w:gridCol w:w="1321"/>
        <w:gridCol w:w="205"/>
        <w:gridCol w:w="917"/>
        <w:gridCol w:w="114"/>
        <w:gridCol w:w="109"/>
        <w:gridCol w:w="109"/>
        <w:gridCol w:w="109"/>
        <w:gridCol w:w="266"/>
        <w:gridCol w:w="1001"/>
        <w:gridCol w:w="147"/>
        <w:gridCol w:w="109"/>
        <w:gridCol w:w="109"/>
        <w:gridCol w:w="109"/>
        <w:gridCol w:w="196"/>
        <w:gridCol w:w="646"/>
        <w:gridCol w:w="109"/>
        <w:gridCol w:w="109"/>
        <w:gridCol w:w="109"/>
        <w:gridCol w:w="109"/>
        <w:gridCol w:w="240"/>
        <w:gridCol w:w="1071"/>
        <w:gridCol w:w="196"/>
      </w:tblGrid>
      <w:tr>
        <w:trPr/>
        <w:tc>
          <w:tcPr>
            <w:tcW w:w="148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Total</w:t>
            </w:r>
          </w:p>
        </w:tc>
      </w:tr>
      <w:tr>
        <w:trPr/>
        <w:tc>
          <w:tcPr>
            <w:tcW w:w="4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2023</w:t>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1,843,523 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446,542 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2,293,373 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 and noncontrolling interest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2022</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1,812,839 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514,241 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2,364,812 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480,559 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41,342 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556,798 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2021</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2,203,046 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600,215 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2,811,485 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925,968 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996,904 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22. Related Party Transactions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incurs expenses and maintains balances with its affiliates in the ordinary course of business. As of December 31, 2023, and December 31, 2022, the Company had a net payables to its affiliates of $1.5 million and a net receivables from its affiliates of $0.5 million,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held a minority interest in JNX since 2016 (see Note 9 “Financial Assets and Liabilities”). The Company pays exchange fees to JNX for the trading activities conducted on its proprietary trading system. The Company paid $12.1 million, $13.8 million, and $12.5 million for the years ended December 31, 2023, 2022, and 2021, respectively, to JNX for these trading activities.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Consolidated Statements of Comprehensive Income. The Company made payments of $32.6 million, $27.7 million, and $25.3 million to the JVs for the years ended December 31, 2023, 2022, and 2021,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an interest in Members Exchange, a member-owned equities exchange. The Company pays regulatory and transaction fees and receives rebates from trading activities. The Company paid $4.8 million, received $16.0 million, and received $3.6 million for the years ended December 31, 2023, 2022, and 2021,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2022, the Company formed a JV to support the growth and expansion of a multi-asset request-for-quote communication platform. The Company consolidates this JV and recorded noncontrolling interest of $39.2 million in the condensed consolidated statement of changes in equity during the year ended December 31, 2022. Refer to Note 11 “Variable Interest Entities” for further details.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12, 2021, the Company entered into a Purchase Agreement with Ordinal Holdings I, LP to repurchase 1.5 million shares of the Company's Class A common stock for $39.2 million in accordance with the Company's previously disclosed share repurchase program. See Note 17 “Capital Structure” for a further discussion of the Company's share repurchase program.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8 “Borrowings” and Note 17 “Capital Structure”, on March 20, 2020 a subsidiary of the Company entered into an agreement with the Founder Member to establish the Founder Member Facility and, upon the execution of the Founder Member Facility and in consideration of the Founder Member’s commitments thereunder, the Company delivered to the Founder Member the Warrant. The transactions were unanimously approved by the Company’s disinterested Directors. The Founder Member Loan Term expired as of September 20, 2020. On December 17, 2021, the Founder Member exercised in full its Warrant to purchase 3,000,000 shares of the Company's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23. Parent Company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color w:val="000000"/>
        </w:rPr>
      </w:pPr>
      <w:r>
        <w:rPr>
          <w:color w:val="000000"/>
        </w:rPr>
        <w:t>    </w:t>
      </w:r>
      <w:r>
        <w:rPr>
          <w:rFonts w:ascii="Times New Roman;sans-serif" w:hAnsi="Times New Roman;sans-serif"/>
          <w:b w:val="false"/>
          <w:color w:val="000000"/>
          <w:sz w:val="20"/>
        </w:rPr>
        <w:t>VFI is the sole managing member of Virtu Financial, which guarantees the indebtedness of its direct subsidiary under the First Lien Term Loan Facility (see Note 8 “Borrowings”). VFI is limited to its ability to receive distributions (including for purposes of paying corporate and other overhead expenses and dividends) from Virtu Financial under the Credit Agreement. The following financial statements (the “Parent Company Only Financial Statements”) should be read in conjunction with the Consolidated Financial Statements of the Company and the foregoing.</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(Parent Company Only)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Financial Condition</w:t>
      </w:r>
    </w:p>
    <w:tbl>
      <w:tblPr>
        <w:tblW w:w="10205" w:type="dxa"/>
        <w:jc w:val="center"/>
        <w:tblInd w:w="0" w:type="dxa"/>
        <w:tblLayout w:type="fixed"/>
        <w:tblCellMar>
          <w:top w:w="28" w:type="dxa"/>
          <w:left w:w="28" w:type="dxa"/>
          <w:bottom w:w="28" w:type="dxa"/>
          <w:right w:w="28" w:type="dxa"/>
        </w:tblCellMar>
      </w:tblPr>
      <w:tblGrid>
        <w:gridCol w:w="2640"/>
        <w:gridCol w:w="2321"/>
        <w:gridCol w:w="2326"/>
        <w:gridCol w:w="212"/>
        <w:gridCol w:w="942"/>
        <w:gridCol w:w="117"/>
        <w:gridCol w:w="109"/>
        <w:gridCol w:w="109"/>
        <w:gridCol w:w="109"/>
        <w:gridCol w:w="211"/>
        <w:gridCol w:w="939"/>
        <w:gridCol w:w="170"/>
      </w:tblGrid>
      <w:tr>
        <w:trPr/>
        <w:tc>
          <w:tcPr>
            <w:tcW w:w="2640"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interest data)</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139,139 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subsidiary</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2,955,137 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3,119,418 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3,163,426 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3,316,974 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redeemable membership interest and equity</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to affiliate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1,738,291 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1,733,429 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 and other liabilities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receivable agreement obligations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216,480 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238,758 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1,960,699 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1,975,075 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Inc. Stockholders' equity</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728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Authorized — 1,000,000,000 and 1,000,000,000 shares, Issued — 134,901,037 and 133,071,754 shares, Outstanding — 89,092,686 and 98,549,464 shares at December 31, 2023 and December 31, 2022, respectively</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(par value $0.00001), Authorized — 175,000,000 and 175,000,000 shares, Issued and Outstanding — 0 and 0 shares at December 31, 2023 and December 31, 2022, respectively</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C common stock (par value $0.00001), Authorized — 90,000,000 and 90,000,000 shares, Issued and Outstanding — 8,607,998 and 9,030,066 shares at December 31, 2023 and December 31, 2022, respectively</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D common stock (par value $0.00001), Authorized — 175,000,000 and 175,000,000 shares, Issued and Outstanding — 60,091,740 and 60,091,740 shares at December 31, 2023 and December 31, 2022, respectively</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45,808,351 and 34,522,290 shares at December 31, 2023 and December 31, 2022, respectively</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(1,166,299)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(954,637)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1,351,574 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1,292,613 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 (accumulated deficit)</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1,000,403 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972,317 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Virtu Financial Inc. stockholders' equity</w:t>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1,202,727 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1,341,899 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3,163,426 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3,316,974 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(Parent Company Only)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Comprehensive Income</w:t>
      </w:r>
    </w:p>
    <w:tbl>
      <w:tblPr>
        <w:tblW w:w="8742" w:type="dxa"/>
        <w:jc w:val="center"/>
        <w:tblInd w:w="0" w:type="dxa"/>
        <w:tblLayout w:type="fixed"/>
        <w:tblCellMar>
          <w:top w:w="28" w:type="dxa"/>
          <w:left w:w="28" w:type="dxa"/>
          <w:bottom w:w="28" w:type="dxa"/>
          <w:right w:w="28" w:type="dxa"/>
        </w:tblCellMar>
      </w:tblPr>
      <w:tblGrid>
        <w:gridCol w:w="1778"/>
        <w:gridCol w:w="1566"/>
        <w:gridCol w:w="1576"/>
        <w:gridCol w:w="196"/>
        <w:gridCol w:w="736"/>
        <w:gridCol w:w="109"/>
        <w:gridCol w:w="109"/>
        <w:gridCol w:w="109"/>
        <w:gridCol w:w="109"/>
        <w:gridCol w:w="196"/>
        <w:gridCol w:w="736"/>
        <w:gridCol w:w="109"/>
        <w:gridCol w:w="109"/>
        <w:gridCol w:w="109"/>
        <w:gridCol w:w="109"/>
        <w:gridCol w:w="196"/>
        <w:gridCol w:w="736"/>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Operations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equity in income of subsidiary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income (loss) of subsidiary,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common stockholders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 net of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cash flow hedges gains (losses), net of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842,526 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(Parent Company Only)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Cash Flows</w:t>
      </w:r>
    </w:p>
    <w:tbl>
      <w:tblPr>
        <w:tblW w:w="10205" w:type="dxa"/>
        <w:jc w:val="center"/>
        <w:tblInd w:w="0" w:type="dxa"/>
        <w:tblLayout w:type="fixed"/>
        <w:tblCellMar>
          <w:top w:w="28" w:type="dxa"/>
          <w:left w:w="28" w:type="dxa"/>
          <w:bottom w:w="28" w:type="dxa"/>
          <w:right w:w="28" w:type="dxa"/>
        </w:tblCellMar>
      </w:tblPr>
      <w:tblGrid>
        <w:gridCol w:w="2306"/>
        <w:gridCol w:w="2032"/>
        <w:gridCol w:w="2044"/>
        <w:gridCol w:w="196"/>
        <w:gridCol w:w="736"/>
        <w:gridCol w:w="109"/>
        <w:gridCol w:w="109"/>
        <w:gridCol w:w="109"/>
        <w:gridCol w:w="109"/>
        <w:gridCol w:w="196"/>
        <w:gridCol w:w="736"/>
        <w:gridCol w:w="109"/>
        <w:gridCol w:w="109"/>
        <w:gridCol w:w="109"/>
        <w:gridCol w:w="109"/>
        <w:gridCol w:w="196"/>
        <w:gridCol w:w="736"/>
        <w:gridCol w:w="155"/>
      </w:tblGrid>
      <w:tr>
        <w:trPr/>
        <w:tc>
          <w:tcPr>
            <w:tcW w:w="2306"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827,234 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income of subsidiary,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receivable agreement obligation reduction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997,523 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in subsidiaries, equity basis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to stockholders and distributions from Virtu Financial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(548,017)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Class C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(427,454)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receivable agreement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secondary offering, net of offering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(559,989)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(995,430)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receivable agreement described in Note 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Class C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24. Subsequent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subsequent events for adjustment to or disclosure in its Consolidated Financial Statements through the date of this report, and has not identified any recordable or disclosable events, not otherwise reported in these Consolidated Financial Statements or the notes thereto, except for the following: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25, 2024, the Company’s Board of Directors declared a dividend of $0.24 per share of Class A Common Stock and Class B Common Stock and per participating Restricted Stock Unit and Restricted Stock Award that will be paid on March 15, 2024 to holders of record as of March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December 31, 2023. Based upon that evaluation, our Chief Executive Officer and Chief Financial Officer concluded that, as of December 31, 2023,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pertain to the maintenance of records that, in reasonable detail, accurately and fairly reflect the transactions and dispositions of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provide reasonable assurance that transactions are recorded as necessary to permit preparation of financial statements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provide reasonable assurance that receipts and expenditures are being made only in accordance with management and director authorization;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provide reasonable assurance regarding prevention or timely detection of unauthorized acquisition, use or disposition of assets that could have a material effect on the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Management assessed the effectiveness of our internal control over financial reporting as of December 31, 2023. In making this assessment, management used the criteria set forth by the Committee of Sponsoring Organizations of the Treadway Commission (COSO) in </w:t>
      </w:r>
      <w:r>
        <w:rPr>
          <w:rFonts w:ascii="Times New Roman;sans-serif" w:hAnsi="Times New Roman;sans-serif"/>
          <w:b w:val="false"/>
          <w:i/>
          <w:color w:val="000000"/>
          <w:sz w:val="20"/>
        </w:rPr>
        <w:t>Internal Control - Integrated Framework (2013)</w:t>
      </w:r>
      <w:r>
        <w:rPr>
          <w:rFonts w:ascii="Times New Roman;sans-serif" w:hAnsi="Times New Roman;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this assessment, management determined that as of December 31, 2023, internal control over financial reporting is effective.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PricewaterhouseCoopers LLP has audited our internal control over financial reporting as of December 31, 2023; their report is included in Item 8 “Financial Statements and Supplementary Data”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to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change in our internal control over financial reporting (as defined in Rule 13a-15(f) under the Exchange Act) occurred during the three months ended December 31, 2023 that has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with respect to this Item will be set forth in our 2024 Proxy Statement, which will be filed with the Securities and Exchange Commission no later than 120 days after December 31, 2023. For the limited purpose of providing the information necessary to comply with this Item 10, the 2024 Proxy Statement is incorporated herein by this reference. All references to the 2024 Proxy Statement in this Part III are exclusive of the information set forth under the caption “Audit Committee Report.”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adopted a Code of Business Conduct and Ethics applicable to all officers, directors and employees, which is available on our website (www.virtu.com) under “Corporate Governance.” We intend to satisfy the disclosure requirement under Item 5.05 of Form 8-K regarding amendment to, or waiver from, a provision of our Code of Business Conduct and Ethics by posting such information on our website at the address and location specified above.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with respect to this Item will be set forth in our 2024 Proxy Statement, which will be filed with the Securities and Exchange Commission no later than 120 days after December 31, 2023. For the limited purpose of providing the information necessary to comply with this Item 11, the 2024 Proxy Statement is incorporated herein by this reference.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this Item will be set forth in our 2024 Proxy Statement, which will be filed with the Securities and Exchange Commission no later than 120 days after December 31, 2023. For the limited purpose of providing the information necessary to comply with this Item 12, the 2024 Proxy Statement is incorporated herein by this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this Item will be set forth in our 2024 Proxy Statement, which will be filed with the Securities and Exchange Commission no later than 120 days after December 31, 2023. For the limited purpose of providing the information necessary to comply with this Item 13, the 2024 Proxy Statement is incorporated herein by this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this Item will be set forth in our 2024 Proxy Statement, which will be filed with the Securities and Exchange Commission no later than 120 days after December 31, 2023. For the limited purpose of providing the information necessary to comply with this Item 14, the 2024 Proxy Statement is incorporated herein by this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540"/>
        <w:gridCol w:w="2499"/>
        <w:gridCol w:w="3563"/>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3563"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127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Reorganization Agreement, dated April 15, 2015, by and among Virtu Financial, Inc., Virtu Financial Merger Sub LLC, Virtu Financial Intermediate Holdings LLC, Virtu Financial Merger Sub II LLC, Virtu Financial Intermediate Holdings II LLC, Virtu Financial LLC, VFH Parent LLC, SLP Virtu Investors, LLC, SLP III EW Feeder I, L.P., SLP III EW Feeder II, L.P., Silver Lake Technology Associates III, L.P., SLP III EW Feeder LLC, Havelock Fund Investments Pte Ltd., Wilbur Investments LLC, VV Investment LLC, Virtu East MIP LLC, Virtu Employee Holdco LLC, TJMT Holdings LLC (f/k/a Virtu Holdings LLC), Virtu Financial Holdings LLC and the Other Class A Members named therein (incorporated herein by reference to Exhibit 2.1 to the Company’s Quarterly Report on Form 10-Q, as amended (File No. 001-37352), filed on May 29, 2015).</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Merger Agreement, dated April 15, 2015, by and among Virtu Financial, Inc., Virtu Financial Merger Sub LLC, Virtu Financial Intermediate Holdings LLC, SLP III EW Feeder Corp., SLP III EW Feeder I, L.P. and Havelock Fund Investments Pte Ltd(incorporated herein by reference to Exhibit 2.2 to the Company’s quarterly report on Form 10-Q, as amended (File No. 001-37352),filed on May 29, 2015).</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Merger Agreement, dated April 15, 2015, by and among Virtu Financial, Inc., Virtu Financial Merger Sub II LLC, Virtu Financial Intermediate Holdings II LLC and Wilbur Investments LLC (incorporated herein by reference to Exhibit 2.3 to the Company’s Quarterly Report on Form 10-Q, as amended (File No. 001-37352), filed on May 29, 2015).</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Agreement and Plan of Merger, dated April 20, 2017, by and among Virtu Financial, Inc., Orchestra Merger Sub, Inc. and KCG Holdings, Inc. (incorporated herein by reference to Exhibit 2.1 to the Company’s Current Report on Form 8-K (File No. 001-37352)filed on April 21, 2017).</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Temasek Investment Agreement, dated April 20, 2017, by and between Virtu Financial, Inc. and Aranda Investments Pte. Ltd.(incorporated herein by reference to Exhibit 2.2 to the Company’s Quarterly Report on Form 10-Q (File No. 001-37352) filed on May 10, 2017).</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Agreement and Plan of Merger, dated November 6, 2018, by and among Virtu Financial, Inc., Impala Merger Sub, Inc. and Investment Technology Group, Inc. (incorporated herein by reference to Exhibit 2.1 to the Company's Current Report on Form 8-K (File No. 001-37352) filed on November 8, 2018).</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Second Amended and Restated Certificate of Incorporation of the Registrant (incorporated herein by reference to Exhibit 3.1 to the Company’s Quarterly Report on Form 10-Q (File No. 001-37352), filed on July 28, 2023).</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"https://www.sec.gov/ix?doc=/Archives/edgar/data/1592386/000110465923051402/tm232014d5_def14a.htm" \l "tARCIVF"</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Second Amended and Restated Certificate of Incorporation of the Registrant (Redline Version) (incorporated herein by reference to Appendix A to the Company’s Definitive Proxy Statement on Schedule 14A (File No. 001-37352), filed on April 27, 2023)</w:t>
            </w:r>
            <w:r>
              <w:rPr>
                <w:rStyle w:val="InternetLink"/>
                <w:sz w:val="20"/>
                <w:u w:val="single"/>
                <w:b w:val="false"/>
                <w:rFonts w:ascii="Times New Roman;sans-serif" w:hAnsi="Times New Roman;sans-serif"/>
                <w:color w:val="0000FF"/>
              </w:rPr>
              <w:fldChar w:fldCharType="end"/>
            </w:r>
            <w:r>
              <w:rPr>
                <w:rFonts w:ascii="Times New Roman;sans-serif" w:hAnsi="Times New Roman;sans-serif"/>
                <w:b w:val="false"/>
                <w:color w:val="000000"/>
                <w:sz w:val="20"/>
              </w:rPr>
              <w:t>.</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Amended and Restated By-laws of the Registrant (incorporated herein by reference to Exhibit 3.2 to the Company’s Quarterly Report on Form 10-Q, as amended (File No. 001-37352), filed on May 29, 2015).</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Description of the Capital Stock (incorporated herein by reference to Exhibit 4.1 to the Company's Annual Report on Form 10-K (File No. 001-37352) filed on February 28, 2020.</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Virtu Financial, Inc. Amended and Restated 2015 Management Incentive Plan (incorporated herein by reference to Exhibit 4.3 to the Company’s Registration Statement on Form S-8 (File No. 333-219110) filed on June 30, 2017).</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Virtu Financial, Inc. Amended and Restated 2015 Management Incentive Plan Form of Restricted Stock Unit and Common Stock Award Agreement (incorporated herein by reference to Exhibit 10.4 to the Company’s Annual Report on Form 10-K (File No. 001-37352) filed on February 25, 2021).</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Form of Indemnification Agreement (incorporated herein by reference to Exhibit 10.2 to the Company’s Amendment No. 2 to Form S-1 Registration Statement (File No. 333-194473) filed on February 20, 2015).</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Employment Agreement, dated as of August 7, 2020, by and between Virtu Financial Operating LLC and Sean Galvin (incorporated herein by reference to Exhibit 10.1 to the Company's Quarterly Report on Form 10-Q (File No. 001-37352) filed on November 6, 2020.</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Credit Agreement, dated January 13, 2022, among Virtu Financial LLC, as Holdings, VFH Parent LLC, as Borrower, the Lenders, Issuing Banks and Swingline Lender Party Hereto, and JPMorgan Chase Bank, N.A., as Administrative Agent, and Jefferies Finance LLC and RBC Capital Markets, as Joint Lead Arrangers and Joint Bookrunners (incorporated herein by reference to Exhibit 10.11 to the Company’s Annual Report on Form 10-K (File No. 001-37352), filed on February 18, 2022).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9"/>
        <w:gridCol w:w="194"/>
        <w:gridCol w:w="197"/>
        <w:gridCol w:w="109"/>
        <w:gridCol w:w="109"/>
        <w:gridCol w:w="109"/>
        <w:gridCol w:w="2762"/>
        <w:gridCol w:w="2694"/>
        <w:gridCol w:w="3812"/>
      </w:tblGrid>
      <w:tr>
        <w:trPr/>
        <w:tc>
          <w:tcPr>
            <w:tcW w:w="21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Stockholders Agreement, dated as of April 15, 2015, by and among Virtu Financial, Inc. and the stockholders named therein (incorporated herein by reference to Exhibit 10.2 to the Company’s Quarterly Report on Form 10-Q, as amended (File No. 001-37352) filed on May 29, 2015).</w:t>
              </w:r>
            </w:hyperlink>
          </w:p>
        </w:tc>
      </w:tr>
      <w:tr>
        <w:trPr/>
        <w:tc>
          <w:tcPr>
            <w:tcW w:w="61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Exchange Agreement, dated as of April 15, 2015, by and among Virtu Financial LLC, Virtu Financial, Inc. and the holders of Common Units and shares of Class C Common Stock or Class D Common Stock (as each defined therein) (incorporated herein by reference to Exhibit 10.3 to the Company’s Quarterly Report on Form 10-Q, as amended (File No. 001-37352) filed on May 29, 2015).</w:t>
              </w:r>
            </w:hyperlink>
          </w:p>
        </w:tc>
      </w:tr>
      <w:tr>
        <w:trPr/>
        <w:tc>
          <w:tcPr>
            <w:tcW w:w="61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Tax Receivable Agreement, dated as of April 15, 2015, by and among Virtu Financial, Inc., TJMT Holdings LLC, Virtu Employee Holdco, the Management Members and other pre-IPO investors (incorporated herein by reference to Exhibit 10.5 to the Company’s Quarterly Report on Form 10-Q, as amended (File No. 001-37352) filed on May 29, 2015).</w:t>
              </w:r>
            </w:hyperlink>
          </w:p>
        </w:tc>
      </w:tr>
      <w:tr>
        <w:trPr/>
        <w:tc>
          <w:tcPr>
            <w:tcW w:w="61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Tax Receivable Agreement, dated as of April 15, 2015, by and between Virtu Financial, Inc. and the Investor Post-IPO Stockholders (incorporated herein by reference to Exhibit 10.6 to the Company’s Quarterly Report on Form 10-Q, as amended (File No. 001-37352) filed on May 29, 2015).</w:t>
              </w:r>
            </w:hyperlink>
          </w:p>
        </w:tc>
      </w:tr>
      <w:tr>
        <w:trPr/>
        <w:tc>
          <w:tcPr>
            <w:tcW w:w="61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Tax Receivable Agreement, dated as of April 15, 2015, by and among Virtu Financial, Inc. and the Silver Lake Post-IPO Members (incorporated herein by reference to Exhibit 10.7 to the Company’s Quarterly Report on Form 10-Q, as amended (File No. 001-37352) filed on May 29, 2015).</w:t>
              </w:r>
            </w:hyperlink>
          </w:p>
        </w:tc>
      </w:tr>
      <w:tr>
        <w:trPr/>
        <w:tc>
          <w:tcPr>
            <w:tcW w:w="61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Third Amended and Restated Limited Liability Company Agreement of Virtu Financial LLC, dated as of April 15, 2015 (incorporated herein by reference to Exhibit 10.8 to the Company’s Quarterly Report on Form 10-Q, as amended (File No. 001-37352) filed on May 29, 2015).</w:t>
              </w:r>
            </w:hyperlink>
          </w:p>
        </w:tc>
      </w:tr>
      <w:tr>
        <w:trPr/>
        <w:tc>
          <w:tcPr>
            <w:tcW w:w="61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Amended and Restated Limited Liability Company Agreement of Virtu Employee Holdco LLC, dated as of April 15, 2015 (incorporated herein by reference to Exhibit 10.9 to the Company’s Quarterly Report on Form 10-Q, as amended (File No. 001-37352), filed on May 29, 2015).</w:t>
              </w:r>
            </w:hyperlink>
          </w:p>
        </w:tc>
      </w:tr>
      <w:tr>
        <w:trPr/>
        <w:tc>
          <w:tcPr>
            <w:tcW w:w="61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Class C Common Stock Subscription Agreement, dated as of April 15, 2015 (incorporated herein by reference to Exhibit 10.10 to the Company’s Quarterly Report on Form 10-Q, as amended (File No. 001-37352) filed on May 29, 2015).</w:t>
              </w:r>
            </w:hyperlink>
          </w:p>
        </w:tc>
      </w:tr>
      <w:tr>
        <w:trPr/>
        <w:tc>
          <w:tcPr>
            <w:tcW w:w="61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Class D Common Stock Subscription Agreement, dated as of April 15, 2015 (incorporated herein by reference to Exhibit 10.11 to the Company’s Quarterly Report on Form 10-Q, as amended (File No. 001-37352) filed on May 29, 2015).</w:t>
              </w:r>
            </w:hyperlink>
          </w:p>
        </w:tc>
      </w:tr>
      <w:tr>
        <w:trPr/>
        <w:tc>
          <w:tcPr>
            <w:tcW w:w="61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Stockholders Agreement, dated April 20, 2017, by and among Virtu Financial, Inc., TJMT Holdings LLC, Aranda Investments Pte. Ltd., Havelock Fund Investments Pte Ltd. and North Island Holdings I, LP (incorporated herein by reference to Exhibit 10.2 to the Company’s Quarterly Report on Form 10-Q (File No. 001-37352) filed on May 10, 2017).</w:t>
              </w:r>
            </w:hyperlink>
          </w:p>
        </w:tc>
      </w:tr>
      <w:tr>
        <w:trPr/>
        <w:tc>
          <w:tcPr>
            <w:tcW w:w="61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Amended and Restated Registration Rights Agreement, dated April 20, 2017, by and among Virtu Financial, Inc., TJMT Holdings LLC, Aranda Investments Pte. Ltd., Havelock Fund Investments Pte Ltd., North Island Holdings I, LP and the additional holders named therein (incorporated herein by reference to Exhibit 10.3 to the Company’s Quarterly Report on Form 10-Q (File No. 001-37352) filed on May 10, 2017).</w:t>
              </w:r>
            </w:hyperlink>
          </w:p>
        </w:tc>
      </w:tr>
      <w:tr>
        <w:trPr/>
        <w:tc>
          <w:tcPr>
            <w:tcW w:w="61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Second Amendment, dated as of June 2, 2017, to the Third Amended and Restated Limited Liability Company Agreement of Virtu Financial LLC, by and among Virtu Financial LLC, Virtu Financial, Inc. and TJMT Holdings LLC (incorporated herein by reference to Exhibit 10.1 to the Company’s Current Report on Form 8-K (File No. 001-37352) filed on June 2, 2017).</w:t>
              </w:r>
            </w:hyperlink>
          </w:p>
        </w:tc>
      </w:tr>
      <w:tr>
        <w:trPr/>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8" w:type="dxa"/>
            <w:gridSpan w:val="3"/>
            <w:tcBorders/>
            <w:vAlign w:val="center"/>
          </w:tcPr>
          <w:p>
            <w:pPr>
              <w:pStyle w:val="TableContents"/>
              <w:bidi w:val="0"/>
              <w:spacing w:before="0" w:after="283"/>
              <w:jc w:val="left"/>
              <w:rPr>
                <w:sz w:val="4"/>
                <w:szCs w:val="4"/>
              </w:rPr>
            </w:pPr>
            <w:r>
              <w:rPr>
                <w:sz w:val="4"/>
                <w:szCs w:val="4"/>
              </w:rPr>
            </w:r>
          </w:p>
        </w:tc>
      </w:tr>
      <w:tr>
        <w:trPr/>
        <w:tc>
          <w:tcPr>
            <w:tcW w:w="61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Third Amendment, dated as of January 5, 2018, to the Third Amended and Restated Limited Liability Company Agreement of Virtu Financial LLC, dated as of April 15, 2015 (incorporated herein by reference to Exhibit 10.30 to the Company's Annual Report on Form 10-K (File No. 001-37352), filed on March 13, 2018).</w:t>
              </w:r>
            </w:hyperlink>
          </w:p>
        </w:tc>
      </w:tr>
      <w:tr>
        <w:trPr/>
        <w:tc>
          <w:tcPr>
            <w:tcW w:w="61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"http://www.sec.gov/Archives/edgar/data/1592386/000110465918033448/a18-13432_1ex10d1.htm" \l "Exhibit_020019"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Amendment No. 1 to the Amended and Restated Registration Rights Agreement, dated May 10, 2018, by and among Virtu Financial, Inc., TJMT Holdings LLC, North Island Holdings I, LP, Havelock Fund Investments Pte Ltd and Aranda Investments Pte. Ltd (incorporated herein by reference to Exhibit 10.1 to the Company’s Current Report on Form 8-K (File No. 001-37352), filed on May 15, 2018).</w:t>
            </w:r>
            <w:r>
              <w:rPr>
                <w:rStyle w:val="InternetLink"/>
                <w:sz w:val="20"/>
                <w:u w:val="single"/>
                <w:b w:val="false"/>
                <w:rFonts w:ascii="Times New Roman;sans-serif" w:hAnsi="Times New Roman;sans-serif"/>
                <w:color w:val="0000FF"/>
              </w:rPr>
              <w:fldChar w:fldCharType="end"/>
            </w:r>
          </w:p>
        </w:tc>
      </w:tr>
      <w:tr>
        <w:trPr/>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8" w:type="dxa"/>
            <w:gridSpan w:val="3"/>
            <w:tcBorders/>
            <w:vAlign w:val="center"/>
          </w:tcPr>
          <w:p>
            <w:pPr>
              <w:pStyle w:val="TableContents"/>
              <w:bidi w:val="0"/>
              <w:spacing w:before="0" w:after="283"/>
              <w:jc w:val="left"/>
              <w:rPr>
                <w:sz w:val="4"/>
                <w:szCs w:val="4"/>
              </w:rPr>
            </w:pPr>
            <w:r>
              <w:rPr>
                <w:sz w:val="4"/>
                <w:szCs w:val="4"/>
              </w:rPr>
            </w:r>
          </w:p>
        </w:tc>
      </w:tr>
      <w:tr>
        <w:trPr/>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8" w:type="dxa"/>
            <w:gridSpan w:val="3"/>
            <w:tcBorders/>
            <w:vAlign w:val="center"/>
          </w:tcPr>
          <w:p>
            <w:pPr>
              <w:pStyle w:val="TableContents"/>
              <w:bidi w:val="0"/>
              <w:spacing w:before="0" w:after="283"/>
              <w:jc w:val="left"/>
              <w:rPr>
                <w:sz w:val="4"/>
                <w:szCs w:val="4"/>
              </w:rPr>
            </w:pPr>
            <w:r>
              <w:rPr>
                <w:sz w:val="4"/>
                <w:szCs w:val="4"/>
              </w:rPr>
            </w:r>
          </w:p>
        </w:tc>
      </w:tr>
      <w:tr>
        <w:trPr/>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8" w:type="dxa"/>
            <w:gridSpan w:val="3"/>
            <w:tcBorders/>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100" w:after="100"/>
              <w:jc w:val="left"/>
              <w:rPr/>
            </w:pPr>
            <w:hyperlink r:id="rId30">
              <w:r>
                <w:rPr>
                  <w:rStyle w:val="InternetLink"/>
                  <w:rFonts w:ascii="Times New Roman;sans-serif" w:hAnsi="Times New Roman;sans-serif"/>
                  <w:b w:val="false"/>
                  <w:color w:val="0000FF"/>
                  <w:sz w:val="20"/>
                  <w:u w:val="single"/>
                </w:rPr>
                <w:t>Investment Technology Group, Inc. 2007 Omnibus Equity Compensation Plan, Amended and Restated Effective June 8, 2017 (incorporated herein by reference to Exhibit 4.3 to the Company’s Registration Statement on Form S-8 (File No. 333-230012) filed on March 1, 2019).</w:t>
              </w:r>
            </w:hyperlink>
          </w:p>
        </w:tc>
      </w:tr>
      <w:tr>
        <w:trPr/>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8" w:type="dxa"/>
            <w:gridSpan w:val="3"/>
            <w:tcBorders/>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Virtu Financial, Inc. 2015 Amended and Restated Management Incentive Plan Restricted Stock Unit and Common Stock Award Agreement, dated as of February 1, 2021, by and between Virtu Financial, Inc. and Douglas A. Cifu (incorporated herein by reference to Exhibit 10.34 to the Company’s Annual Report on Form 10-K (File No. 001-37352) filed on February 25, 2021).</w:t>
              </w:r>
            </w:hyperlink>
          </w:p>
        </w:tc>
      </w:tr>
      <w:tr>
        <w:trPr/>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8" w:type="dxa"/>
            <w:gridSpan w:val="3"/>
            <w:tcBorders/>
            <w:vAlign w:val="center"/>
          </w:tcPr>
          <w:p>
            <w:pPr>
              <w:pStyle w:val="TableContents"/>
              <w:bidi w:val="0"/>
              <w:spacing w:before="0" w:after="283"/>
              <w:jc w:val="left"/>
              <w:rPr>
                <w:sz w:val="4"/>
                <w:szCs w:val="4"/>
              </w:rPr>
            </w:pPr>
            <w:r>
              <w:rPr>
                <w:sz w:val="4"/>
                <w:szCs w:val="4"/>
              </w:rPr>
            </w:r>
          </w:p>
        </w:tc>
      </w:tr>
      <w:tr>
        <w:trPr/>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8" w:type="dxa"/>
            <w:gridSpan w:val="3"/>
            <w:tcBorders/>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Virtu Financial, Inc. 2015 Amended and Restated Management Incentive Plan Restricted Stock Unit and Common Stock Award Agreement, dated as of February 1, 2021, by and between Virtu Financial, Inc. and Joseph Molluso (incorporated herein by reference to Exhibit 10.37 to the Company’s Annual Report on Form 10-K (File No. 001-37352) filed on February 25,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1"/>
        <w:gridCol w:w="194"/>
        <w:gridCol w:w="196"/>
        <w:gridCol w:w="109"/>
        <w:gridCol w:w="109"/>
        <w:gridCol w:w="109"/>
        <w:gridCol w:w="2760"/>
        <w:gridCol w:w="2694"/>
        <w:gridCol w:w="3813"/>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Virtu Financial, Inc. 2015 Amended and Restated Management Incentive Plan Restricted Stock Unit and Common Stock Award Agreement, dated as of February 1, 2021, by and between Virtu Financial, Inc. and Brett Fairclough (incorporated herein by reference to Exhibit 10.38 to the Company’s Annual Report on Form 10-K (File No. 001-37352) filed on February 25, 2021).</w:t>
              </w:r>
            </w:hyperlink>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ans-serif" w:hAnsi="Times New Roman;sans-serif"/>
                  <w:b w:val="false"/>
                  <w:color w:val="0000FF"/>
                  <w:sz w:val="20"/>
                  <w:u w:val="single"/>
                </w:rPr>
                <w:t>Virtu Financial, Inc. 2015 Amended and Restated Management Incentive Plan Restricted Stock Unit and Common Stock Award Agreement, dated as of February 1, 2021, by and between Virtu Financial, Inc. and Stephen Cavoli (incorporated herein by reference to Exhibit 10.39 to the Company’s Annual Report on Form 10-K (File No. 001-37352) filed on February 25, 2021).</w:t>
              </w:r>
            </w:hyperlink>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Virtu Financial, Inc. Amended and Restated 2015 Management Incentive Plan Employee Restricted Stock Unit Award Agreement, dated as of December 24, 2021, by and between Virtu Financial, Inc. and Douglas A. Cifu (incorporated herein by reference to Exhibit 10.42 to the Company’s Annual Report on Form 10-K (File No. 001-37352), filed on February 18, 2022).</w:t>
              </w:r>
            </w:hyperlink>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Virtu Financial, Inc. Amended and Restated 2015 Management Incentive Plan Employee Restricted Stock Unit Award Agreement, dated as of February 3, 2022, by and between Virtu Financial, Inc. and Douglas A. Cifu (incorporated herein by reference to Exhibit 10.43 to the Company’s Annual Report on Form 10-K (File No. 001-37352), filed on February 18, 2022).</w:t>
              </w:r>
            </w:hyperlink>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Virtu Financial, Inc. Amended and Restated 2015 Management Incentive Plan Employee Restricted Stock Unit Award Agreement, dated as of February 3, 2022, by and between Virtu Financial, Inc. and Joseph Molluso (incorporated herein by reference to Exhibit 10.44 to the Company’s Annual Report on Form 10-K (File No. 001-37352), filed on February 18, 2022).</w:t>
              </w:r>
            </w:hyperlink>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Virtu Financial, Inc. Amended and Restated 2015 Management Incentive Plan Employee Restricted Stock Unit and Common Stock Award Agreement, dated as of February 3, 2022, by and between Virtu Financial, Inc. and Sean Galvin (incorporated herein by reference to Exhibit 10.45 to the Company’s Annual Report on Form 10-K (File No. 001-37352), filed on February 18, 2022).</w:t>
              </w:r>
            </w:hyperlink>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Virtu Financial, Inc. Amended and Restated 2015 Management Incentive Plan Employee Restricted Stock Unit Award Agreement, dated as of February 3, 2022, by and between Virtu Financial, Inc. and Sean Galvin (incorporated herein by reference to Exhibit 10.46 to the Company’s Annual Report on Form 10-K (File No. 001-37352), filed on February 18, 2022).</w:t>
              </w:r>
            </w:hyperlink>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Virtu Financial, Inc. Amended and Restated 2015 Management Incentive Plan Employee Restricted Stock Unit and Common Stock Award Agreement, dated as of February 3, 2022, by and between Virtu Financial, Inc. and Brett Fairclough (incorporated herein by reference to Exhibit 10.47 to the Company’s Annual Report on Form 10-K (File No. 001-37352), filed on February 18, 2022).</w:t>
              </w:r>
            </w:hyperlink>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Virtu Financial, Inc. Amended and Restated 2015 Management Incentive Plan Employee Restricted Stock Unit and Common Stock Award Agreement, dated as of February 3, 2022, by and between Virtu Financial, Inc. and Stephen Cavoli (incorporated herein by reference to Exhibit 10.48 to the Company’s Annual Report on Form 10-K (File No. 001-37352), filed on February 18, 2022).</w:t>
              </w:r>
            </w:hyperlink>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Virtu Financial, Inc. Deferred Compensation Plan (incorporated herein by reference to Exhibit 10.40 to the Company’s Annual Report on Form 10-K (File No. 001-37352) filed on February 25, 2021)</w:t>
              </w:r>
            </w:hyperlink>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80"/>
                  <w:sz w:val="20"/>
                  <w:u w:val="single"/>
                </w:rPr>
                <w:t xml:space="preserve">Virtu Financial, Inc. Amended and Restated 2015 Management Incentive Plan Employee Restricted Stock Unit Award Agreement, dated as of March 1, 2022, by and between Virtu Financial, Inc. </w:t>
              </w:r>
            </w:hyperlink>
            <w:hyperlink r:id="rId44">
              <w:r>
                <w:rPr>
                  <w:rStyle w:val="InternetLink"/>
                  <w:rFonts w:ascii="Times New Roman;sans-serif" w:hAnsi="Times New Roman;sans-serif"/>
                  <w:b w:val="false"/>
                  <w:color w:val="000080"/>
                  <w:sz w:val="20"/>
                  <w:u w:val="single"/>
                </w:rPr>
                <w:t xml:space="preserve">and Douglas </w:t>
              </w:r>
            </w:hyperlink>
            <w:hyperlink r:id="rId45">
              <w:r>
                <w:rPr>
                  <w:rStyle w:val="InternetLink"/>
                  <w:rFonts w:ascii="Times New Roman;sans-serif" w:hAnsi="Times New Roman;sans-serif"/>
                  <w:b w:val="false"/>
                  <w:color w:val="000080"/>
                  <w:sz w:val="20"/>
                  <w:u w:val="single"/>
                </w:rPr>
                <w:t xml:space="preserve">A. </w:t>
              </w:r>
            </w:hyperlink>
            <w:hyperlink r:id="rId46">
              <w:r>
                <w:rPr>
                  <w:rStyle w:val="InternetLink"/>
                  <w:rFonts w:ascii="Times New Roman;sans-serif" w:hAnsi="Times New Roman;sans-serif"/>
                  <w:b w:val="false"/>
                  <w:color w:val="000080"/>
                  <w:sz w:val="20"/>
                  <w:u w:val="single"/>
                </w:rPr>
                <w:t xml:space="preserve">Cifu </w:t>
              </w:r>
            </w:hyperlink>
            <w:hyperlink r:id="rId47">
              <w:r>
                <w:rPr>
                  <w:rStyle w:val="InternetLink"/>
                  <w:rFonts w:ascii="Times New Roman;sans-serif" w:hAnsi="Times New Roman;sans-serif"/>
                  <w:b w:val="false"/>
                  <w:color w:val="000080"/>
                  <w:sz w:val="20"/>
                  <w:u w:val="single"/>
                </w:rPr>
                <w:t>(incorporated herein by reference to Exhibit 10.1 to the Company’s Quarterly Report on Form 10-Q (File No. 001-37352) filed on May 3, 2022).</w:t>
              </w:r>
            </w:hyperlink>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Virtu Financial, Inc. Second Amended and Restated Employment Agreement, dated as of April 29, 2022, by and between Virtu Financial, Inc. and Douglas A. Cifu (incorporated herein by reference to Exhibit 10.1 to the Company's Quarterly Report on Form 10-Q (File No. 001-37352) filed on August 2, 2022).</w:t>
              </w:r>
            </w:hyperlink>
          </w:p>
        </w:tc>
      </w:tr>
      <w:tr>
        <w:trPr/>
        <w:tc>
          <w:tcPr>
            <w:tcW w:w="611"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Virtu Financial, Inc. Amended and Restated Employment Agreement, dated as of December 1, 2022, by and between Virtu Financial Operating LLC and Joseph Molluso (incorporated herein by reference to Exhibit 10.46 to the Company’s Annual Report on Form 10-K (File No. 001-37352) filed on February 17, 2023).</w:t>
              </w:r>
            </w:hyperlink>
          </w:p>
        </w:tc>
      </w:tr>
      <w:tr>
        <w:trPr/>
        <w:tc>
          <w:tcPr>
            <w:tcW w:w="611"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Virtu Financial, Inc. Amended and Restated Employment Agreement, dated as of December 1, 2022, by and between Virtu Financial Operating LLC and Brett Fairclough (incorporated herein by reference to Exhibit 10.47 to the Company’s Annual Report on Form 10-K (File No. 001-37352) filed on February 17, 2023).</w:t>
              </w:r>
            </w:hyperlink>
          </w:p>
        </w:tc>
      </w:tr>
      <w:tr>
        <w:trPr/>
        <w:tc>
          <w:tcPr>
            <w:tcW w:w="611"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Virtu Financial, Inc. Amended and Restated Employment Agreement, dated as of December 1, 2022, by and between Virtu Financial Operating LLC and Stephen Cavoli (incorporated herein by reference to Exhibit 10.48 to the Company’s Annual Report on Form 10-K (File No. 001-37352) filed on February 17,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0"/>
        <w:gridCol w:w="210"/>
        <w:gridCol w:w="213"/>
        <w:gridCol w:w="109"/>
        <w:gridCol w:w="109"/>
        <w:gridCol w:w="109"/>
        <w:gridCol w:w="3207"/>
        <w:gridCol w:w="2488"/>
        <w:gridCol w:w="3520"/>
      </w:tblGrid>
      <w:tr>
        <w:trPr/>
        <w:tc>
          <w:tcPr>
            <w:tcW w:w="2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7"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3520" w:type="dxa"/>
            <w:tcBorders/>
            <w:vAlign w:val="center"/>
          </w:tcPr>
          <w:p>
            <w:pPr>
              <w:pStyle w:val="TableContents"/>
              <w:bidi w:val="0"/>
              <w:spacing w:before="0" w:after="283"/>
              <w:jc w:val="left"/>
              <w:rPr>
                <w:sz w:val="4"/>
                <w:szCs w:val="4"/>
              </w:rPr>
            </w:pPr>
            <w:r>
              <w:rPr>
                <w:sz w:val="4"/>
                <w:szCs w:val="4"/>
              </w:rPr>
            </w:r>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80"/>
                  <w:sz w:val="20"/>
                  <w:u w:val="single"/>
                </w:rPr>
                <w:t xml:space="preserve">Virtu Financial, Inc. 2015 Amended and Restated Management Incentive Plan Amendment No. 1 </w:t>
              </w:r>
            </w:hyperlink>
            <w:hyperlink r:id="rId53">
              <w:r>
                <w:rPr>
                  <w:rStyle w:val="InternetLink"/>
                  <w:rFonts w:ascii="Times New Roman;sans-serif" w:hAnsi="Times New Roman;sans-serif"/>
                  <w:b w:val="false"/>
                  <w:color w:val="000080"/>
                  <w:sz w:val="20"/>
                  <w:u w:val="single"/>
                </w:rPr>
                <w:t xml:space="preserve">to Employee Restricted Stock Unit Award </w:t>
              </w:r>
            </w:hyperlink>
            <w:hyperlink r:id="rId54">
              <w:r>
                <w:rPr>
                  <w:rStyle w:val="InternetLink"/>
                  <w:rFonts w:ascii="Times New Roman;sans-serif" w:hAnsi="Times New Roman;sans-serif"/>
                  <w:b w:val="false"/>
                  <w:color w:val="000080"/>
                  <w:sz w:val="20"/>
                  <w:u w:val="single"/>
                </w:rPr>
                <w:t xml:space="preserve">Agreement </w:t>
              </w:r>
            </w:hyperlink>
            <w:hyperlink r:id="rId55">
              <w:r>
                <w:rPr>
                  <w:rStyle w:val="InternetLink"/>
                  <w:rFonts w:ascii="Times New Roman;sans-serif" w:hAnsi="Times New Roman;sans-serif"/>
                  <w:b w:val="false"/>
                  <w:color w:val="000080"/>
                  <w:sz w:val="20"/>
                  <w:u w:val="single"/>
                </w:rPr>
                <w:t xml:space="preserve">dated as of December 1, 2022 to Restricted Stock Unit </w:t>
              </w:r>
            </w:hyperlink>
            <w:hyperlink r:id="rId56">
              <w:r>
                <w:rPr>
                  <w:rStyle w:val="InternetLink"/>
                  <w:rFonts w:ascii="Times New Roman;sans-serif" w:hAnsi="Times New Roman;sans-serif"/>
                  <w:b w:val="false"/>
                  <w:color w:val="000080"/>
                  <w:sz w:val="20"/>
                  <w:u w:val="single"/>
                </w:rPr>
                <w:t>Award Agreement dated as of March 1, 2022, by and between Virtu Financial, Inc. and Douglas A. Cifu (incorporated herein by reference to Exhibit 10.49 to the Company’s Annual Report on Form 10-K (File No. 001-37352) filed on February 17, 2023).</w:t>
              </w:r>
            </w:hyperlink>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 xml:space="preserve">Virtu Financial, Inc. Amended and Restated 2015 Management Incentive Plan Employee Restricted Stock Unit Award Agreement, dated as of February 3, 2023, by and between Virtu Financial, Inc. and Douglas A. Cifu (incorporated herein by reference to Exhibit 10.1 to the Company’s Quarterly Report on Form 10-Q (File No. 001-37352) filed on April 28, 2023). </w:t>
              </w:r>
            </w:hyperlink>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80"/>
                  <w:sz w:val="20"/>
                  <w:u w:val="single"/>
                </w:rPr>
                <w:t>Virtu Financial, Inc. Amended and Restated 2015 Management Incentive Plan Employee Restricted Stock Unit Award Agreement, dated as of February 3, 2023, by and between Virtu Financial, Inc. and Joseph M</w:t>
              </w:r>
            </w:hyperlink>
            <w:hyperlink r:id="rId59">
              <w:r>
                <w:rPr>
                  <w:rStyle w:val="InternetLink"/>
                  <w:rFonts w:ascii="Times New Roman;sans-serif" w:hAnsi="Times New Roman;sans-serif"/>
                  <w:b w:val="false"/>
                  <w:color w:val="000080"/>
                  <w:sz w:val="20"/>
                  <w:u w:val="single"/>
                </w:rPr>
                <w:t>o</w:t>
              </w:r>
            </w:hyperlink>
            <w:hyperlink r:id="rId60">
              <w:r>
                <w:rPr>
                  <w:rStyle w:val="InternetLink"/>
                  <w:rFonts w:ascii="Times New Roman;sans-serif" w:hAnsi="Times New Roman;sans-serif"/>
                  <w:b w:val="false"/>
                  <w:color w:val="000080"/>
                  <w:sz w:val="20"/>
                  <w:u w:val="single"/>
                </w:rPr>
                <w:t>lluso (incorporated herein by reference to Exhibit 10.2 to the Company’s Quarterly Report on Form 10-Q (File No. 001-37352) filed on April 28, 2023).</w:t>
              </w:r>
            </w:hyperlink>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Virtu Financial, Inc. Amended and Restated 2015 Management Incentive Plan Employee Restricted Stock Unit Award Agreement, dated as of February 3, 2023, by and between Virtu Financial, Inc. and Stephen Cavoli (incorporated herein by reference to Exhibit 10.3 to the Company’s Quarterly Report on Form 10-Q (File No. 001-37352) filed on April 28, 2023).</w:t>
              </w:r>
            </w:hyperlink>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20"/>
                  <w:u w:val="single"/>
                </w:rPr>
                <w:t>Virtu Financial, Inc. Amended and Restated 2015 Management Incentive Plan Employee Restricted Stock Unit Award Agreement, dated as of February 3, 2023, by and between Virtu Financial, Inc. and Brett Fairclough (incorporated herein by reference to Exhibit 10.4 to the Company’s Quarterly Report on Form 10-Q (File No. 001-37352) filed on April 28, 2023).</w:t>
              </w:r>
            </w:hyperlink>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211q423.htm">
              <w:r>
                <w:rPr>
                  <w:rStyle w:val="InternetLink"/>
                  <w:rFonts w:ascii="Times New Roman;sans-serif" w:hAnsi="Times New Roman;sans-serif"/>
                  <w:b w:val="false"/>
                  <w:color w:val="0000FF"/>
                  <w:sz w:val="20"/>
                  <w:u w:val="single"/>
                </w:rPr>
                <w:t>Subsidiaries of Virtu Financial, Inc.</w:t>
              </w:r>
            </w:hyperlink>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231q423.htm">
              <w:r>
                <w:rPr>
                  <w:rStyle w:val="InternetLink"/>
                  <w:rFonts w:ascii="Times New Roman;sans-serif" w:hAnsi="Times New Roman;sans-serif"/>
                  <w:b w:val="false"/>
                  <w:color w:val="0000FF"/>
                  <w:sz w:val="20"/>
                  <w:u w:val="single"/>
                </w:rPr>
                <w:t>Consent of PricewaterhouseCoopers LLP.</w:t>
              </w:r>
            </w:hyperlink>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11q423.htm">
              <w:r>
                <w:rPr>
                  <w:rStyle w:val="InternetLink"/>
                  <w:rFonts w:ascii="Times New Roman;sans-serif" w:hAnsi="Times New Roman;sans-serif"/>
                  <w:b w:val="false"/>
                  <w:color w:val="0000FF"/>
                  <w:sz w:val="20"/>
                  <w:u w:val="single"/>
                </w:rPr>
                <w:t xml:space="preserve">Certification of Chief Executive Officer required by Rule 13a-14(a)/15d-14(a) under the Securities Exchange Act of 1934, as amended, as adopted pursuant to Section 302 of the Sarbanes-Oxley Act of 2002. </w:t>
              </w:r>
            </w:hyperlink>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12q423.htm">
              <w:r>
                <w:rPr>
                  <w:rStyle w:val="InternetLink"/>
                  <w:rFonts w:ascii="Times New Roman;sans-serif" w:hAnsi="Times New Roman;sans-serif"/>
                  <w:b w:val="false"/>
                  <w:color w:val="0000FF"/>
                  <w:sz w:val="20"/>
                  <w:u w:val="single"/>
                </w:rPr>
                <w:t xml:space="preserve">Certification of Chief Financial Officer required by Rule 13a-14(a)/15d-14(a) under the Securities Exchange Act of 1934, as amended, as adopted pursuant to Section 302 of the Sarbanes-Oxley Act of 2002. </w:t>
              </w:r>
            </w:hyperlink>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21q423.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22q423.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971q423.htm">
              <w:r>
                <w:rPr>
                  <w:rStyle w:val="InternetLink"/>
                  <w:rFonts w:ascii="Times New Roman;sans-serif" w:hAnsi="Times New Roman;sans-serif"/>
                  <w:b w:val="false"/>
                  <w:color w:val="000080"/>
                  <w:sz w:val="20"/>
                  <w:u w:val="single"/>
                </w:rPr>
                <w:t xml:space="preserve">Virtu </w:t>
              </w:r>
            </w:hyperlink>
            <w:hyperlink w:anchor="exhibit971q423.htm">
              <w:r>
                <w:rPr>
                  <w:rStyle w:val="InternetLink"/>
                  <w:rFonts w:ascii="Times New Roman;sans-serif" w:hAnsi="Times New Roman;sans-serif"/>
                  <w:b w:val="false"/>
                  <w:color w:val="000080"/>
                  <w:sz w:val="20"/>
                  <w:u w:val="single"/>
                </w:rPr>
                <w:t>Financial</w:t>
              </w:r>
            </w:hyperlink>
            <w:hyperlink w:anchor="exhibit971q423.htm">
              <w:r>
                <w:rPr>
                  <w:rStyle w:val="InternetLink"/>
                  <w:rFonts w:ascii="Times New Roman;sans-serif" w:hAnsi="Times New Roman;sans-serif"/>
                  <w:b w:val="false"/>
                  <w:color w:val="000080"/>
                  <w:sz w:val="20"/>
                  <w:u w:val="single"/>
                </w:rPr>
                <w:t xml:space="preserve">, Inc. </w:t>
              </w:r>
            </w:hyperlink>
            <w:hyperlink w:anchor="exhibit971q423.htm">
              <w:r>
                <w:rPr>
                  <w:rStyle w:val="InternetLink"/>
                  <w:rFonts w:ascii="Times New Roman;sans-serif" w:hAnsi="Times New Roman;sans-serif"/>
                  <w:b w:val="false"/>
                  <w:color w:val="000080"/>
                  <w:sz w:val="20"/>
                  <w:u w:val="single"/>
                </w:rPr>
                <w:t>Clawback Policy</w:t>
              </w:r>
            </w:hyperlink>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w:t>
            </w:r>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w:t>
            </w:r>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w:t>
            </w:r>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w:t>
            </w:r>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Document</w:t>
            </w:r>
          </w:p>
        </w:tc>
      </w:tr>
      <w:tr>
        <w:trPr/>
        <w:tc>
          <w:tcPr>
            <w:tcW w:w="66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shd w:fill="FEFEFE" w:val="clear"/>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Management contract or compensatory plan or arrangement.</w:t>
      </w:r>
    </w:p>
    <w:p>
      <w:pPr>
        <w:pStyle w:val="TextBody"/>
        <w:bidi w:val="0"/>
        <w:spacing w:before="0" w:after="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5173" w:type="dxa"/>
        <w:jc w:val="center"/>
        <w:tblInd w:w="0" w:type="dxa"/>
        <w:tblLayout w:type="fixed"/>
        <w:tblCellMar>
          <w:top w:w="28" w:type="dxa"/>
          <w:left w:w="28" w:type="dxa"/>
          <w:bottom w:w="28" w:type="dxa"/>
          <w:right w:w="28" w:type="dxa"/>
        </w:tblCellMar>
      </w:tblPr>
      <w:tblGrid>
        <w:gridCol w:w="249"/>
        <w:gridCol w:w="220"/>
        <w:gridCol w:w="221"/>
        <w:gridCol w:w="529"/>
        <w:gridCol w:w="529"/>
        <w:gridCol w:w="531"/>
        <w:gridCol w:w="275"/>
        <w:gridCol w:w="275"/>
        <w:gridCol w:w="275"/>
        <w:gridCol w:w="603"/>
        <w:gridCol w:w="603"/>
        <w:gridCol w:w="863"/>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 Financial, Inc.</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A. Cifu</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A. Cifu</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P. Galvin</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P. Galvin</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KNOW ALL MEN BY THESE PRESENTS, that each person whose signature appears below constitutes and appoints Douglas A. Cifu and Sean P. Galvin,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his or her substitute or substitutes, may lawfully do or cause to be done by virtue hereof.</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as amended, the report has been signed below by the following persons on behalf of the Registrant and in the capacities indicated on February 16, 2024.</w:t>
      </w:r>
    </w:p>
    <w:tbl>
      <w:tblPr>
        <w:tblW w:w="5839" w:type="dxa"/>
        <w:jc w:val="center"/>
        <w:tblInd w:w="0" w:type="dxa"/>
        <w:tblLayout w:type="fixed"/>
        <w:tblCellMar>
          <w:top w:w="28" w:type="dxa"/>
          <w:left w:w="28" w:type="dxa"/>
          <w:bottom w:w="28" w:type="dxa"/>
          <w:right w:w="28" w:type="dxa"/>
        </w:tblCellMar>
      </w:tblPr>
      <w:tblGrid>
        <w:gridCol w:w="259"/>
        <w:gridCol w:w="228"/>
        <w:gridCol w:w="228"/>
        <w:gridCol w:w="228"/>
        <w:gridCol w:w="228"/>
        <w:gridCol w:w="228"/>
        <w:gridCol w:w="228"/>
        <w:gridCol w:w="228"/>
        <w:gridCol w:w="228"/>
        <w:gridCol w:w="137"/>
        <w:gridCol w:w="137"/>
        <w:gridCol w:w="137"/>
        <w:gridCol w:w="137"/>
        <w:gridCol w:w="137"/>
        <w:gridCol w:w="137"/>
        <w:gridCol w:w="137"/>
        <w:gridCol w:w="137"/>
        <w:gridCol w:w="137"/>
        <w:gridCol w:w="137"/>
        <w:gridCol w:w="137"/>
        <w:gridCol w:w="137"/>
        <w:gridCol w:w="137"/>
        <w:gridCol w:w="137"/>
        <w:gridCol w:w="137"/>
        <w:gridCol w:w="137"/>
        <w:gridCol w:w="137"/>
        <w:gridCol w:w="137"/>
        <w:gridCol w:w="137"/>
        <w:gridCol w:w="137"/>
        <w:gridCol w:w="137"/>
        <w:gridCol w:w="137"/>
        <w:gridCol w:w="137"/>
        <w:gridCol w:w="137"/>
        <w:gridCol w:w="137"/>
        <w:gridCol w:w="137"/>
        <w:gridCol w:w="194"/>
      </w:tblGrid>
      <w:tr>
        <w:trPr/>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7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r>
      <w:tr>
        <w:trPr/>
        <w:tc>
          <w:tcPr>
            <w:tcW w:w="2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Douglas A. Cifu</w:t>
            </w:r>
          </w:p>
        </w:tc>
        <w:tc>
          <w:tcPr>
            <w:tcW w:w="3756"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br/>
              <w:t>(Principal Executive Officer) and Director</w:t>
            </w:r>
          </w:p>
        </w:tc>
      </w:tr>
      <w:tr>
        <w:trPr/>
        <w:tc>
          <w:tcPr>
            <w:tcW w:w="20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Douglas A. Cifu</w:t>
            </w:r>
          </w:p>
        </w:tc>
        <w:tc>
          <w:tcPr>
            <w:tcW w:w="3756" w:type="dxa"/>
            <w:gridSpan w:val="27"/>
            <w:vMerge w:val="continue"/>
            <w:tcBorders/>
            <w:tcMar>
              <w:top w:w="0" w:type="dxa"/>
              <w:left w:w="0" w:type="dxa"/>
              <w:bottom w:w="0" w:type="dxa"/>
              <w:right w:w="0" w:type="dxa"/>
            </w:tcMar>
            <w:vAlign w:val="center"/>
          </w:tcPr>
          <w:p>
            <w:pPr>
              <w:pStyle w:val="Normal"/>
              <w:bidi w:val="0"/>
              <w:jc w:val="left"/>
              <w:rPr/>
            </w:pPr>
            <w:r>
              <w:rPr/>
            </w:r>
          </w:p>
        </w:tc>
      </w:tr>
      <w:tr>
        <w:trPr/>
        <w:tc>
          <w:tcPr>
            <w:tcW w:w="2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Sean P. Galvin</w:t>
            </w:r>
          </w:p>
        </w:tc>
        <w:tc>
          <w:tcPr>
            <w:tcW w:w="3756"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w:t>
            </w:r>
          </w:p>
        </w:tc>
      </w:tr>
      <w:tr>
        <w:trPr/>
        <w:tc>
          <w:tcPr>
            <w:tcW w:w="20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Sean P. Galvin</w:t>
            </w:r>
          </w:p>
        </w:tc>
        <w:tc>
          <w:tcPr>
            <w:tcW w:w="3756" w:type="dxa"/>
            <w:gridSpan w:val="27"/>
            <w:vMerge w:val="continue"/>
            <w:tcBorders/>
            <w:tcMar>
              <w:top w:w="0" w:type="dxa"/>
              <w:left w:w="0" w:type="dxa"/>
              <w:bottom w:w="0" w:type="dxa"/>
              <w:right w:w="0" w:type="dxa"/>
            </w:tcMar>
            <w:vAlign w:val="center"/>
          </w:tcPr>
          <w:p>
            <w:pPr>
              <w:pStyle w:val="Normal"/>
              <w:bidi w:val="0"/>
              <w:jc w:val="left"/>
              <w:rPr/>
            </w:pPr>
            <w:r>
              <w:rPr/>
            </w:r>
          </w:p>
        </w:tc>
      </w:tr>
      <w:tr>
        <w:trPr/>
        <w:tc>
          <w:tcPr>
            <w:tcW w:w="2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Viola</w:t>
            </w:r>
          </w:p>
        </w:tc>
        <w:tc>
          <w:tcPr>
            <w:tcW w:w="3756"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r>
      <w:tr>
        <w:trPr/>
        <w:tc>
          <w:tcPr>
            <w:tcW w:w="20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Michael Viola</w:t>
            </w:r>
          </w:p>
        </w:tc>
        <w:tc>
          <w:tcPr>
            <w:tcW w:w="3756" w:type="dxa"/>
            <w:gridSpan w:val="27"/>
            <w:vMerge w:val="continue"/>
            <w:tcBorders/>
            <w:tcMar>
              <w:top w:w="0" w:type="dxa"/>
              <w:left w:w="0" w:type="dxa"/>
              <w:bottom w:w="0" w:type="dxa"/>
              <w:right w:w="0" w:type="dxa"/>
            </w:tcMar>
            <w:vAlign w:val="center"/>
          </w:tcPr>
          <w:p>
            <w:pPr>
              <w:pStyle w:val="Normal"/>
              <w:bidi w:val="0"/>
              <w:jc w:val="left"/>
              <w:rPr/>
            </w:pPr>
            <w:r>
              <w:rPr/>
            </w:r>
          </w:p>
        </w:tc>
      </w:tr>
      <w:tr>
        <w:trPr/>
        <w:tc>
          <w:tcPr>
            <w:tcW w:w="2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Vincent Viola</w:t>
            </w:r>
          </w:p>
        </w:tc>
        <w:tc>
          <w:tcPr>
            <w:tcW w:w="3756"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Emeritus and Director</w:t>
            </w:r>
          </w:p>
        </w:tc>
      </w:tr>
      <w:tr>
        <w:trPr/>
        <w:tc>
          <w:tcPr>
            <w:tcW w:w="20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Vincent Viola</w:t>
            </w:r>
          </w:p>
        </w:tc>
        <w:tc>
          <w:tcPr>
            <w:tcW w:w="3756" w:type="dxa"/>
            <w:gridSpan w:val="27"/>
            <w:vMerge w:val="continue"/>
            <w:tcBorders/>
            <w:tcMar>
              <w:top w:w="0" w:type="dxa"/>
              <w:left w:w="0" w:type="dxa"/>
              <w:bottom w:w="0" w:type="dxa"/>
              <w:right w:w="0" w:type="dxa"/>
            </w:tcMar>
            <w:vAlign w:val="center"/>
          </w:tcPr>
          <w:p>
            <w:pPr>
              <w:pStyle w:val="Normal"/>
              <w:bidi w:val="0"/>
              <w:jc w:val="left"/>
              <w:rPr/>
            </w:pPr>
            <w:r>
              <w:rPr/>
            </w:r>
          </w:p>
        </w:tc>
      </w:tr>
      <w:tr>
        <w:trPr/>
        <w:tc>
          <w:tcPr>
            <w:tcW w:w="2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F. Cruger, Jr.</w:t>
            </w:r>
          </w:p>
        </w:tc>
        <w:tc>
          <w:tcPr>
            <w:tcW w:w="3756"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F. Cruger, Jr.</w:t>
            </w:r>
          </w:p>
        </w:tc>
        <w:tc>
          <w:tcPr>
            <w:tcW w:w="3756" w:type="dxa"/>
            <w:gridSpan w:val="27"/>
            <w:vMerge w:val="continue"/>
            <w:tcBorders/>
            <w:tcMar>
              <w:top w:w="0" w:type="dxa"/>
              <w:left w:w="0" w:type="dxa"/>
              <w:bottom w:w="0" w:type="dxa"/>
              <w:right w:w="0" w:type="dxa"/>
            </w:tcMar>
            <w:vAlign w:val="center"/>
          </w:tcPr>
          <w:p>
            <w:pPr>
              <w:pStyle w:val="Normal"/>
              <w:bidi w:val="0"/>
              <w:jc w:val="left"/>
              <w:rPr/>
            </w:pPr>
            <w:r>
              <w:rPr/>
            </w:r>
          </w:p>
        </w:tc>
      </w:tr>
      <w:tr>
        <w:trPr/>
        <w:tc>
          <w:tcPr>
            <w:tcW w:w="2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Virginia Gambale</w:t>
            </w:r>
          </w:p>
        </w:tc>
        <w:tc>
          <w:tcPr>
            <w:tcW w:w="3756"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Virginia Gambale</w:t>
            </w:r>
          </w:p>
        </w:tc>
        <w:tc>
          <w:tcPr>
            <w:tcW w:w="3756" w:type="dxa"/>
            <w:gridSpan w:val="27"/>
            <w:vMerge w:val="continue"/>
            <w:tcBorders/>
            <w:tcMar>
              <w:top w:w="0" w:type="dxa"/>
              <w:left w:w="0" w:type="dxa"/>
              <w:bottom w:w="0" w:type="dxa"/>
              <w:right w:w="0" w:type="dxa"/>
            </w:tcMar>
            <w:vAlign w:val="center"/>
          </w:tcPr>
          <w:p>
            <w:pPr>
              <w:pStyle w:val="Normal"/>
              <w:bidi w:val="0"/>
              <w:jc w:val="left"/>
              <w:rPr/>
            </w:pPr>
            <w:r>
              <w:rPr/>
            </w:r>
          </w:p>
        </w:tc>
      </w:tr>
      <w:tr>
        <w:trPr/>
        <w:tc>
          <w:tcPr>
            <w:tcW w:w="2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J. Grano, Jr.</w:t>
            </w:r>
          </w:p>
        </w:tc>
        <w:tc>
          <w:tcPr>
            <w:tcW w:w="3756"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Joseph J. Grano, Jr.</w:t>
            </w:r>
          </w:p>
        </w:tc>
        <w:tc>
          <w:tcPr>
            <w:tcW w:w="3756" w:type="dxa"/>
            <w:gridSpan w:val="27"/>
            <w:vMerge w:val="continue"/>
            <w:tcBorders/>
            <w:tcMar>
              <w:top w:w="0" w:type="dxa"/>
              <w:left w:w="0" w:type="dxa"/>
              <w:bottom w:w="0" w:type="dxa"/>
              <w:right w:w="0" w:type="dxa"/>
            </w:tcMar>
            <w:vAlign w:val="center"/>
          </w:tcPr>
          <w:p>
            <w:pPr>
              <w:pStyle w:val="Normal"/>
              <w:bidi w:val="0"/>
              <w:jc w:val="left"/>
              <w:rPr/>
            </w:pPr>
            <w:r>
              <w:rPr/>
            </w:r>
          </w:p>
        </w:tc>
      </w:tr>
      <w:tr>
        <w:trPr/>
        <w:tc>
          <w:tcPr>
            <w:tcW w:w="2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Joanne Minieri</w:t>
            </w:r>
          </w:p>
        </w:tc>
        <w:tc>
          <w:tcPr>
            <w:tcW w:w="3756"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Joanne Minieri</w:t>
            </w:r>
          </w:p>
        </w:tc>
        <w:tc>
          <w:tcPr>
            <w:tcW w:w="3756" w:type="dxa"/>
            <w:gridSpan w:val="27"/>
            <w:vMerge w:val="continue"/>
            <w:tcBorders/>
            <w:tcMar>
              <w:top w:w="0" w:type="dxa"/>
              <w:left w:w="0" w:type="dxa"/>
              <w:bottom w:w="0" w:type="dxa"/>
              <w:right w:w="0" w:type="dxa"/>
            </w:tcMar>
            <w:vAlign w:val="center"/>
          </w:tcPr>
          <w:p>
            <w:pPr>
              <w:pStyle w:val="Normal"/>
              <w:bidi w:val="0"/>
              <w:jc w:val="left"/>
              <w:rPr/>
            </w:pPr>
            <w:r>
              <w:rPr/>
            </w:r>
          </w:p>
        </w:tc>
      </w:tr>
      <w:tr>
        <w:trPr/>
        <w:tc>
          <w:tcPr>
            <w:tcW w:w="2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D. Nixon</w:t>
            </w:r>
          </w:p>
        </w:tc>
        <w:tc>
          <w:tcPr>
            <w:tcW w:w="3756"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D. Nixon</w:t>
            </w:r>
          </w:p>
        </w:tc>
        <w:tc>
          <w:tcPr>
            <w:tcW w:w="3756" w:type="dxa"/>
            <w:gridSpan w:val="27"/>
            <w:vMerge w:val="continue"/>
            <w:tcBorders/>
            <w:tcMar>
              <w:top w:w="0" w:type="dxa"/>
              <w:left w:w="0" w:type="dxa"/>
              <w:bottom w:w="0" w:type="dxa"/>
              <w:right w:w="0" w:type="dxa"/>
            </w:tcMar>
            <w:vAlign w:val="center"/>
          </w:tcPr>
          <w:p>
            <w:pPr>
              <w:pStyle w:val="Normal"/>
              <w:bidi w:val="0"/>
              <w:jc w:val="left"/>
              <w:rPr/>
            </w:pPr>
            <w:r>
              <w:rPr/>
            </w:r>
          </w:p>
        </w:tc>
      </w:tr>
      <w:tr>
        <w:trPr/>
        <w:tc>
          <w:tcPr>
            <w:tcW w:w="2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Quick</w:t>
            </w:r>
          </w:p>
        </w:tc>
        <w:tc>
          <w:tcPr>
            <w:tcW w:w="3756"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Christopher Quick</w:t>
            </w:r>
          </w:p>
        </w:tc>
        <w:tc>
          <w:tcPr>
            <w:tcW w:w="3756" w:type="dxa"/>
            <w:gridSpan w:val="27"/>
            <w:vMerge w:val="continue"/>
            <w:tcBorders/>
            <w:tcMar>
              <w:top w:w="0" w:type="dxa"/>
              <w:left w:w="0" w:type="dxa"/>
              <w:bottom w:w="0" w:type="dxa"/>
              <w:right w:w="0" w:type="dxa"/>
            </w:tcMar>
            <w:vAlign w:val="center"/>
          </w:tcPr>
          <w:p>
            <w:pPr>
              <w:pStyle w:val="Normal"/>
              <w:bidi w:val="0"/>
              <w:jc w:val="left"/>
              <w:rPr/>
            </w:pPr>
            <w:r>
              <w:rPr/>
            </w:r>
          </w:p>
        </w:tc>
      </w:tr>
      <w:tr>
        <w:trPr/>
        <w:tc>
          <w:tcPr>
            <w:tcW w:w="2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Urban</w:t>
            </w:r>
          </w:p>
        </w:tc>
        <w:tc>
          <w:tcPr>
            <w:tcW w:w="3756"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Urban</w:t>
            </w:r>
          </w:p>
        </w:tc>
        <w:tc>
          <w:tcPr>
            <w:tcW w:w="3756" w:type="dxa"/>
            <w:gridSpan w:val="27"/>
            <w:vMerge w:val="continue"/>
            <w:tcBorders/>
            <w:tcMar>
              <w:top w:w="0" w:type="dxa"/>
              <w:left w:w="0" w:type="dxa"/>
              <w:bottom w:w="0" w:type="dxa"/>
              <w:right w:w="0" w:type="dxa"/>
            </w:tcMar>
            <w:vAlign w:val="center"/>
          </w:tcPr>
          <w:p>
            <w:pPr>
              <w:pStyle w:val="Normal"/>
              <w:bidi w:val="0"/>
              <w:jc w:val="left"/>
              <w:rPr/>
            </w:pPr>
            <w:r>
              <w:rPr/>
            </w:r>
          </w:p>
        </w:tc>
      </w:tr>
      <w:tr>
        <w:trPr/>
        <w:tc>
          <w:tcPr>
            <w:tcW w:w="715"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4440" w:type="dxa"/>
            <w:gridSpan w:val="30"/>
            <w:tcBorders/>
          </w:tcPr>
          <w:p>
            <w:pPr>
              <w:pStyle w:val="TableContents"/>
              <w:bidi w:val="0"/>
              <w:spacing w:before="0" w:after="283"/>
              <w:jc w:val="left"/>
              <w:rPr>
                <w:sz w:val="4"/>
                <w:szCs w:val="4"/>
              </w:rPr>
            </w:pPr>
            <w:r>
              <w:rPr>
                <w:sz w:val="4"/>
                <w:szCs w:val="4"/>
              </w:rPr>
            </w:r>
          </w:p>
        </w:tc>
      </w:tr>
      <w:tr>
        <w:trPr/>
        <w:tc>
          <w:tcPr>
            <w:tcW w:w="715"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4440" w:type="dxa"/>
            <w:gridSpan w:val="30"/>
            <w:tcBorders/>
          </w:tcPr>
          <w:p>
            <w:pPr>
              <w:pStyle w:val="TableContents"/>
              <w:bidi w:val="0"/>
              <w:spacing w:before="0" w:after="283"/>
              <w:jc w:val="left"/>
              <w:rPr>
                <w:sz w:val="4"/>
                <w:szCs w:val="4"/>
              </w:rPr>
            </w:pPr>
            <w:r>
              <w:rPr>
                <w:sz w:val="4"/>
                <w:szCs w:val="4"/>
              </w:rPr>
            </w:r>
          </w:p>
        </w:tc>
      </w:tr>
      <w:tr>
        <w:trPr/>
        <w:tc>
          <w:tcPr>
            <w:tcW w:w="715" w:type="dxa"/>
            <w:gridSpan w:val="3"/>
            <w:tcBorders/>
            <w:vAlign w:val="center"/>
          </w:tcPr>
          <w:p>
            <w:pPr>
              <w:pStyle w:val="TableContents"/>
              <w:bidi w:val="0"/>
              <w:spacing w:before="0" w:after="283"/>
              <w:jc w:val="left"/>
              <w:rPr>
                <w:sz w:val="4"/>
                <w:szCs w:val="4"/>
              </w:rPr>
            </w:pPr>
            <w:r>
              <w:rPr>
                <w:sz w:val="4"/>
                <w:szCs w:val="4"/>
              </w:rPr>
            </w:r>
          </w:p>
        </w:tc>
        <w:tc>
          <w:tcPr>
            <w:tcW w:w="5124" w:type="dxa"/>
            <w:gridSpan w:val="33"/>
            <w:tcBorders/>
          </w:tcPr>
          <w:p>
            <w:pPr>
              <w:pStyle w:val="TableContents"/>
              <w:bidi w:val="0"/>
              <w:spacing w:before="0" w:after="283"/>
              <w:jc w:val="left"/>
              <w:rPr>
                <w:sz w:val="4"/>
                <w:szCs w:val="4"/>
              </w:rPr>
            </w:pPr>
            <w:r>
              <w:rPr>
                <w:sz w:val="4"/>
                <w:szCs w:val="4"/>
              </w:rPr>
            </w:r>
          </w:p>
        </w:tc>
      </w:tr>
      <w:tr>
        <w:trPr/>
        <w:tc>
          <w:tcPr>
            <w:tcW w:w="2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w10:wrap type="none"/>
              </v:rect>
            </w:pict>
          </mc:Fallback>
        </mc:AlternateContent>
      </w:r>
    </w:p>
    <w:p>
      <w:pPr>
        <w:pStyle w:val="TextBody"/>
        <w:bidi w:val="0"/>
        <w:spacing w:lineRule="auto" w:line="333" w:before="0" w:after="0"/>
        <w:jc w:val="right"/>
        <w:rPr/>
      </w:pPr>
      <w:r>
        <w:rPr>
          <w:rFonts w:ascii="Times New Roman;sans-serif" w:hAnsi="Times New Roman;sans-serif"/>
          <w:b/>
          <w:color w:val="000000"/>
          <w:sz w:val="20"/>
        </w:rPr>
        <w:t>EXHIBIT 21.1</w:t>
      </w:r>
      <w:r>
        <w:rPr>
          <w:color w:val="000000"/>
        </w:rPr>
        <w:t xml:space="preserve"> </w:t>
      </w:r>
    </w:p>
    <w:p>
      <w:pPr>
        <w:pStyle w:val="TextBody"/>
        <w:bidi w:val="0"/>
        <w:spacing w:before="0" w:after="0"/>
        <w:jc w:val="center"/>
        <w:rPr/>
      </w:pPr>
      <w:r>
        <w:rPr/>
      </w:r>
    </w:p>
    <w:p>
      <w:pPr>
        <w:pStyle w:val="TextBody"/>
        <w:bidi w:val="0"/>
        <w:spacing w:lineRule="auto" w:line="333" w:before="0" w:after="0"/>
        <w:jc w:val="center"/>
        <w:rPr/>
      </w:pPr>
      <w:r>
        <w:rPr>
          <w:rFonts w:ascii="Times New Roman;sans-serif" w:hAnsi="Times New Roman;sans-serif"/>
          <w:b/>
          <w:color w:val="000000"/>
          <w:sz w:val="20"/>
        </w:rPr>
        <w:t>Subsidiaries of Virtu Financial, Inc.</w:t>
      </w:r>
      <w:r>
        <w:rPr>
          <w:color w:val="000000"/>
        </w:rPr>
        <w:t xml:space="preserve"> </w:t>
      </w:r>
    </w:p>
    <w:p>
      <w:pPr>
        <w:pStyle w:val="TextBody"/>
        <w:bidi w:val="0"/>
        <w:spacing w:before="0" w:after="0"/>
        <w:jc w:val="center"/>
        <w:rPr/>
      </w:pPr>
      <w:r>
        <w:rPr/>
      </w:r>
    </w:p>
    <w:p>
      <w:pPr>
        <w:pStyle w:val="TextBody"/>
        <w:bidi w:val="0"/>
        <w:spacing w:lineRule="auto" w:line="333"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subsidiaries of Virtu Financial, Inc. as of December 31, 2023 and the jurisdictions in which they are organized. The names of particular subsidiaries have been omitted because, considered in the aggregate as a single subsidiary, they would not constitute, as of December 31, 2023, a "significant subsidiary" as that term is defined in Rule 1-02(w) of regulation S-X under the Securities Exchange Act of 1934. </w:t>
      </w:r>
    </w:p>
    <w:tbl>
      <w:tblPr>
        <w:tblW w:w="5967" w:type="dxa"/>
        <w:jc w:val="left"/>
        <w:tblInd w:w="0" w:type="dxa"/>
        <w:tblLayout w:type="fixed"/>
        <w:tblCellMar>
          <w:top w:w="28" w:type="dxa"/>
          <w:left w:w="28" w:type="dxa"/>
          <w:bottom w:w="28" w:type="dxa"/>
          <w:right w:w="28" w:type="dxa"/>
        </w:tblCellMar>
      </w:tblPr>
      <w:tblGrid>
        <w:gridCol w:w="1111"/>
        <w:gridCol w:w="975"/>
        <w:gridCol w:w="989"/>
        <w:gridCol w:w="109"/>
        <w:gridCol w:w="109"/>
        <w:gridCol w:w="109"/>
        <w:gridCol w:w="751"/>
        <w:gridCol w:w="751"/>
        <w:gridCol w:w="1063"/>
      </w:tblGrid>
      <w:tr>
        <w:trPr/>
        <w:tc>
          <w:tcPr>
            <w:tcW w:w="111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Organization</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 Financial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VFH Parent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 Financial Operating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 Financial Global Markets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 KCG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 Americas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right"/>
        <w:rPr/>
      </w:pPr>
      <w:r>
        <w:rPr>
          <w:rFonts w:ascii="Times New Roman;sans-serif" w:hAnsi="Times New Roman;sans-serif"/>
          <w:b/>
          <w:color w:val="000000"/>
          <w:sz w:val="20"/>
        </w:rPr>
        <w:t>EXHIBIT 23.1</w:t>
      </w:r>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S-3 (No. 333-213157), Form S-3ASR (No. 333-255659), and Forms S-8 (Nos. 333-266473, 333-248537, 333-203478, 333-219110, and 333-230012) of Virtu Financial, Inc. of our report dated February 16, 2024 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York, New York </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CEO CERTIFICATION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302 OF THE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 — 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Douglas A. Cifu,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period ending December 31, 2023 of Virtu Financial, Inc. (the “registrant”) as filed with the Securities and Exchange Commission on the date 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58"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603"/>
        <w:gridCol w:w="603"/>
        <w:gridCol w:w="86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16,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A. Cifu</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A. Cifu</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CFO CERTIFICATION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302 OF THE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 — 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Sean Galvin,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period ending December 31, 2023 of Virtu Financial, Inc. (the “registrant”) as filed with the Securities and Exchange Commission on the date 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162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99"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586"/>
        <w:gridCol w:w="586"/>
        <w:gridCol w:w="83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16,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P. Galvin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Galvin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Virtu Financial, Inc. (the “Company”) for the period ended December 31, 2023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pStyle w:val="TextBody"/>
        <w:bidi w:val="0"/>
        <w:spacing w:before="0" w:after="0"/>
        <w:ind w:left="0" w:right="0" w:firstLine="12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ind w:left="0" w:right="0" w:firstLine="1260"/>
        <w:jc w:val="center"/>
        <w:rPr>
          <w:color w:val="000000"/>
        </w:rPr>
      </w:pPr>
      <w:r>
        <w:rPr>
          <w:color w:val="000000"/>
        </w:rPr>
        <w:t> </w:t>
      </w:r>
    </w:p>
    <w:tbl>
      <w:tblPr>
        <w:tblW w:w="2456" w:type="dxa"/>
        <w:jc w:val="left"/>
        <w:tblInd w:w="0" w:type="dxa"/>
        <w:tblLayout w:type="fixed"/>
        <w:tblCellMar>
          <w:top w:w="28" w:type="dxa"/>
          <w:left w:w="28" w:type="dxa"/>
          <w:bottom w:w="28" w:type="dxa"/>
          <w:right w:w="28" w:type="dxa"/>
        </w:tblCellMar>
      </w:tblPr>
      <w:tblGrid>
        <w:gridCol w:w="124"/>
        <w:gridCol w:w="109"/>
        <w:gridCol w:w="109"/>
        <w:gridCol w:w="616"/>
        <w:gridCol w:w="616"/>
        <w:gridCol w:w="8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A. Cifu</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A. Cifu</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16, 2024</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Virtu Financial, Inc. (the “Company”) for the period ended December 31, 2023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456" w:type="dxa"/>
        <w:jc w:val="left"/>
        <w:tblInd w:w="0" w:type="dxa"/>
        <w:tblLayout w:type="fixed"/>
        <w:tblCellMar>
          <w:top w:w="28" w:type="dxa"/>
          <w:left w:w="28" w:type="dxa"/>
          <w:bottom w:w="28" w:type="dxa"/>
          <w:right w:w="28" w:type="dxa"/>
        </w:tblCellMar>
      </w:tblPr>
      <w:tblGrid>
        <w:gridCol w:w="124"/>
        <w:gridCol w:w="109"/>
        <w:gridCol w:w="109"/>
        <w:gridCol w:w="616"/>
        <w:gridCol w:w="616"/>
        <w:gridCol w:w="8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P. Galvin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Galvin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16, 2024</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97.1</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VIRTU FINANCIAL,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CLAWBACK POLICY </w:t>
      </w:r>
    </w:p>
    <w:p>
      <w:pPr>
        <w:pStyle w:val="TextBody"/>
        <w:bidi w:val="0"/>
        <w:spacing w:before="0" w:after="0"/>
        <w:jc w:val="center"/>
        <w:rPr/>
      </w:pPr>
      <w:r>
        <w:rPr/>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Virtu Financial, Inc. (the “</w:t>
      </w:r>
      <w:r>
        <w:rPr>
          <w:rFonts w:ascii="Times New Roman;sans-serif" w:hAnsi="Times New Roman;sans-serif"/>
          <w:b/>
          <w:color w:val="000000"/>
          <w:sz w:val="24"/>
          <w:u w:val="single"/>
        </w:rPr>
        <w:t>Company</w:t>
      </w:r>
      <w:r>
        <w:rPr>
          <w:color w:val="000000"/>
        </w:rPr>
        <w:t>”</w:t>
      </w:r>
      <w:r>
        <w:rPr>
          <w:rFonts w:ascii="Times New Roman;sans-serif" w:hAnsi="Times New Roman;sans-serif"/>
          <w:b w:val="false"/>
          <w:color w:val="000000"/>
          <w:sz w:val="24"/>
        </w:rPr>
        <w:t>) has adopted</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 xml:space="preserve">this Policy in accordance with Nasdaq listing requirements. </w:t>
      </w:r>
    </w:p>
    <w:p>
      <w:pPr>
        <w:pStyle w:val="TextBody"/>
        <w:bidi w:val="0"/>
        <w:spacing w:lineRule="auto" w:line="240" w:before="0" w:after="240"/>
        <w:ind w:left="0" w:right="0" w:firstLine="720"/>
        <w:jc w:val="left"/>
        <w:rPr/>
      </w:pPr>
      <w:r>
        <w:rPr>
          <w:rFonts w:ascii="Times New Roman;sans-serif" w:hAnsi="Times New Roman;sans-serif"/>
          <w:b/>
          <w:color w:val="000000"/>
          <w:sz w:val="24"/>
        </w:rPr>
        <w:t>A.</w:t>
      </w:r>
      <w:r>
        <w:rPr>
          <w:rFonts w:ascii="Times New Roman;sans-serif" w:hAnsi="Times New Roman;sans-serif"/>
          <w:b/>
          <w:color w:val="000000"/>
          <w:sz w:val="24"/>
        </w:rPr>
        <w:t>Application of Policy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This Policy applies in the event of </w:t>
      </w:r>
      <w:r>
        <w:rPr>
          <w:rFonts w:ascii="Times New Roman;sans-serif" w:hAnsi="Times New Roman;sans-serif"/>
          <w:b w:val="false"/>
          <w:color w:val="000000"/>
          <w:sz w:val="24"/>
          <w:u w:val="single"/>
        </w:rPr>
        <w:t>any</w:t>
      </w:r>
      <w:r>
        <w:rPr>
          <w:color w:val="000000"/>
        </w:rPr>
        <w:t xml:space="preserve"> </w:t>
      </w:r>
      <w:r>
        <w:rPr>
          <w:rFonts w:ascii="Times New Roman;sans-serif" w:hAnsi="Times New Roman;sans-serif"/>
          <w:b w:val="false"/>
          <w:color w:val="000000"/>
          <w:sz w:val="24"/>
        </w:rPr>
        <w:t>accounting restatement (“</w:t>
      </w:r>
      <w:r>
        <w:rPr>
          <w:rFonts w:ascii="Times New Roman;sans-serif" w:hAnsi="Times New Roman;sans-serif"/>
          <w:b/>
          <w:color w:val="000000"/>
          <w:sz w:val="24"/>
          <w:u w:val="single"/>
        </w:rPr>
        <w:t>Restatement</w:t>
      </w:r>
      <w:r>
        <w:rPr>
          <w:color w:val="000000"/>
        </w:rPr>
        <w:t>”</w:t>
      </w:r>
      <w:r>
        <w:rPr>
          <w:rFonts w:ascii="Times New Roman;sans-serif" w:hAnsi="Times New Roman;sans-serif"/>
          <w:b w:val="false"/>
          <w:color w:val="000000"/>
          <w:sz w:val="24"/>
        </w:rPr>
        <w:t>) due to the Company’s material non-compliance with financial reporting requirements under applicable securities laws, in accordance with Rule 10D-1 of the Securities Exchange Act of 1934 (“</w:t>
      </w:r>
      <w:r>
        <w:rPr>
          <w:rFonts w:ascii="Times New Roman;sans-serif" w:hAnsi="Times New Roman;sans-serif"/>
          <w:b/>
          <w:color w:val="000000"/>
          <w:sz w:val="24"/>
          <w:u w:val="single"/>
        </w:rPr>
        <w:t>Rule 10D</w:t>
      </w:r>
      <w:r>
        <w:rPr>
          <w:color w:val="000000"/>
        </w:rPr>
        <w:t>”</w:t>
      </w:r>
      <w:r>
        <w:rPr>
          <w:rFonts w:ascii="Times New Roman;sans-serif" w:hAnsi="Times New Roman;sans-serif"/>
          <w:b w:val="false"/>
          <w:color w:val="000000"/>
          <w:sz w:val="24"/>
        </w:rPr>
        <w:t>). This Policy shall apply to Incentive-Based Compensation (as defined below) received on or after October 2, 2023 (the “</w:t>
      </w:r>
      <w:r>
        <w:rPr>
          <w:rFonts w:ascii="Times New Roman;sans-serif" w:hAnsi="Times New Roman;sans-serif"/>
          <w:b/>
          <w:color w:val="000000"/>
          <w:sz w:val="24"/>
          <w:u w:val="single"/>
        </w:rPr>
        <w:t>Effective Date</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color w:val="000000"/>
          <w:sz w:val="24"/>
        </w:rPr>
        <w:t>Executive Officers Subject to the Policy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The executives of the Company who serve or served as an “executive officer” (as defined under Rule 10D) of the Company (the “</w:t>
      </w:r>
      <w:r>
        <w:rPr>
          <w:rFonts w:ascii="Times New Roman;sans-serif" w:hAnsi="Times New Roman;sans-serif"/>
          <w:b/>
          <w:color w:val="000000"/>
          <w:sz w:val="24"/>
          <w:u w:val="single"/>
        </w:rPr>
        <w:t>Executive Officers</w:t>
      </w:r>
      <w:r>
        <w:rPr>
          <w:color w:val="000000"/>
        </w:rPr>
        <w:t>”</w:t>
      </w:r>
      <w:r>
        <w:rPr>
          <w:rFonts w:ascii="Times New Roman;sans-serif" w:hAnsi="Times New Roman;sans-serif"/>
          <w:b w:val="false"/>
          <w:color w:val="000000"/>
          <w:sz w:val="24"/>
        </w:rPr>
        <w:t xml:space="preserve">) are covered by this Policy. This includes the Company’s current or former principal executive officer, president, principal financial officer, chief accounting officer or controller, any vice-president of the Company in charge of a principal business unit, division or function, and any other current or former officer or person who performs a significant policy-making function for the Company, including executive officers of Company subsidiaries or the Company’s parent. The list of Executive Officers as of the Effective Date is set forth on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xml:space="preserve">, which may be updated from time to time. All of these Executive Officers are subject to this Policy, even if an Executive Officer had no responsibility for the financial statement errors which required restatement. </w:t>
      </w:r>
    </w:p>
    <w:p>
      <w:pPr>
        <w:pStyle w:val="TextBody"/>
        <w:bidi w:val="0"/>
        <w:spacing w:lineRule="auto" w:line="240" w:before="0" w:after="240"/>
        <w:ind w:left="0" w:right="0" w:firstLine="720"/>
        <w:jc w:val="left"/>
        <w:rPr/>
      </w:pPr>
      <w:r>
        <w:rPr>
          <w:rFonts w:ascii="Times New Roman;sans-serif" w:hAnsi="Times New Roman;sans-serif"/>
          <w:b/>
          <w:color w:val="000000"/>
          <w:sz w:val="24"/>
        </w:rPr>
        <w:t>C.</w:t>
      </w:r>
      <w:r>
        <w:rPr>
          <w:rFonts w:ascii="Times New Roman;sans-serif" w:hAnsi="Times New Roman;sans-serif"/>
          <w:b/>
          <w:color w:val="000000"/>
          <w:sz w:val="24"/>
        </w:rPr>
        <w:t xml:space="preserve">Compensation Subject to and Clawback Period of the Policy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This Policy covers all incentive-based compensation (including any cash or equity compensation) that is granted, earned or vested based wholly or in part upon the attainment of any “financial reporting measure” (“</w:t>
      </w:r>
      <w:r>
        <w:rPr>
          <w:rFonts w:ascii="Times New Roman;sans-serif" w:hAnsi="Times New Roman;sans-serif"/>
          <w:b/>
          <w:color w:val="000000"/>
          <w:sz w:val="24"/>
          <w:u w:val="single"/>
        </w:rPr>
        <w:t>Incentive-Based Compensation</w:t>
      </w:r>
      <w:r>
        <w:rPr>
          <w:color w:val="000000"/>
        </w:rPr>
        <w:t>”</w:t>
      </w:r>
      <w:r>
        <w:rPr>
          <w:rFonts w:ascii="Times New Roman;sans-serif" w:hAnsi="Times New Roman;sans-serif"/>
          <w:b w:val="false"/>
          <w:color w:val="000000"/>
          <w:sz w:val="24"/>
        </w:rPr>
        <w:t>). This Policy applies to any Incentive-Based Compensation “received” by an Executive Officer during the period (the “</w:t>
      </w:r>
      <w:r>
        <w:rPr>
          <w:rFonts w:ascii="Times New Roman;sans-serif" w:hAnsi="Times New Roman;sans-serif"/>
          <w:b/>
          <w:color w:val="000000"/>
          <w:sz w:val="24"/>
          <w:u w:val="single"/>
        </w:rPr>
        <w:t>Clawback Period</w:t>
      </w:r>
      <w:r>
        <w:rPr>
          <w:color w:val="000000"/>
        </w:rPr>
        <w:t>”</w:t>
      </w:r>
      <w:r>
        <w:rPr>
          <w:rFonts w:ascii="Times New Roman;sans-serif" w:hAnsi="Times New Roman;sans-serif"/>
          <w:b w:val="false"/>
          <w:color w:val="000000"/>
          <w:sz w:val="24"/>
        </w:rPr>
        <w:t xml:space="preserve">) consisting of any of the three fiscal completed years immediately preceding: </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the date that the Company’s Board of Directors (the “</w:t>
      </w:r>
      <w:r>
        <w:rPr>
          <w:rFonts w:ascii="Times New Roman;sans-serif" w:hAnsi="Times New Roman;sans-serif"/>
          <w:b/>
          <w:color w:val="000000"/>
          <w:sz w:val="24"/>
          <w:u w:val="single"/>
        </w:rPr>
        <w:t>Board</w:t>
      </w:r>
      <w:r>
        <w:rPr>
          <w:color w:val="000000"/>
        </w:rPr>
        <w:t>”</w:t>
      </w:r>
      <w:r>
        <w:rPr>
          <w:rFonts w:ascii="Times New Roman;sans-serif" w:hAnsi="Times New Roman;sans-serif"/>
          <w:b w:val="false"/>
          <w:color w:val="000000"/>
          <w:sz w:val="24"/>
        </w:rPr>
        <w:t xml:space="preserve">) (or Audit Committee) concludes, or reasonably should have concluded, that the Company is required to prepare a Restatement, or </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the date that a court, regulator, or other legally authorized body directs the Company to prepare a Restatement.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Financial reporting measures are those that are determined and presented in accordance with the accounting principles used in preparing the Company’s financial statements and any measures derived wholly or in part from such financial information (including non-GAAP measures, stock price and total shareholder return). For purposes of this Policy, Incentive-Based Compensation is deemed “received” in the fiscal period during which the applicable financial reporting measure (as specified in the terms of the </w:t>
      </w:r>
    </w:p>
    <w:p>
      <w:pPr>
        <w:pStyle w:val="TextBody"/>
        <w:bidi w:val="0"/>
        <w:spacing w:lineRule="auto" w:line="240"/>
        <w:ind w:left="0" w:right="0" w:hanging="3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This policy was adopted by the Company’s Board of Directors as of November 1, 2023.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award) is attained (the “</w:t>
      </w:r>
      <w:r>
        <w:rPr>
          <w:rFonts w:ascii="Times New Roman;sans-serif" w:hAnsi="Times New Roman;sans-serif"/>
          <w:b/>
          <w:color w:val="000000"/>
          <w:sz w:val="24"/>
          <w:u w:val="single"/>
        </w:rPr>
        <w:t>Performance Period</w:t>
      </w:r>
      <w:r>
        <w:rPr>
          <w:color w:val="000000"/>
        </w:rPr>
        <w:t>”</w:t>
      </w:r>
      <w:r>
        <w:rPr>
          <w:rFonts w:ascii="Times New Roman;sans-serif" w:hAnsi="Times New Roman;sans-serif"/>
          <w:b w:val="false"/>
          <w:color w:val="000000"/>
          <w:sz w:val="24"/>
        </w:rPr>
        <w:t xml:space="preserve">), even if the payment or grant occurs after the end of that fiscal period. For the avoidance of doubt, the Clawback Period with respect to an Executive Officer applies to Incentive-Based Compensation received by the Executive Officer (a) after beginning services as an Executive Officer (including compensation derived from an award authorized before the individual is newly hired as an Executive Officer, e.g. inducement grants) and (b) if that person served as an Executive Officer at any time during the Performance Period for such Incentive-Based Compensation.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Incentive-Based Compensation does not include (i) base annual salary, (ii) compensation which is awarded based solely on service to the Company (e.g. a time-vested award, including time-vesting stock options or restricted share units), or (iii) compensation which is awarded based solely on subjective standards, strategic measures (e.g. completion of a merger) or operational measures (e.g. attainment of a certain market share).</w:t>
      </w:r>
    </w:p>
    <w:p>
      <w:pPr>
        <w:pStyle w:val="TextBody"/>
        <w:bidi w:val="0"/>
        <w:spacing w:lineRule="auto" w:line="240" w:before="0" w:after="240"/>
        <w:ind w:left="0" w:right="0" w:firstLine="720"/>
        <w:jc w:val="left"/>
        <w:rPr/>
      </w:pPr>
      <w:r>
        <w:rPr>
          <w:rFonts w:ascii="Times New Roman;sans-serif" w:hAnsi="Times New Roman;sans-serif"/>
          <w:b/>
          <w:color w:val="000000"/>
          <w:sz w:val="24"/>
        </w:rPr>
        <w:t>A.</w:t>
      </w:r>
      <w:r>
        <w:rPr>
          <w:rFonts w:ascii="Times New Roman;sans-serif" w:hAnsi="Times New Roman;sans-serif"/>
          <w:b/>
          <w:color w:val="000000"/>
          <w:sz w:val="24"/>
        </w:rPr>
        <w:t>Amount Required to be Repaid Pursuant to this Policy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The amount of Incentive-Based Compensation that must be repaid (subject to the few limitations discussed below) is the amount of Incentive-Based Compensation received by the Executive Officer that exceeds the amount of Incentive-Based Compensation that otherwise would have been received had it been determined based on the Restatement (the “</w:t>
      </w:r>
      <w:r>
        <w:rPr>
          <w:rFonts w:ascii="Times New Roman;sans-serif" w:hAnsi="Times New Roman;sans-serif"/>
          <w:b/>
          <w:color w:val="000000"/>
          <w:sz w:val="24"/>
          <w:u w:val="single"/>
        </w:rPr>
        <w:t>Recoverable Amount</w:t>
      </w:r>
      <w:r>
        <w:rPr>
          <w:color w:val="000000"/>
        </w:rPr>
        <w:t>”</w:t>
      </w:r>
      <w:r>
        <w:rPr>
          <w:rFonts w:ascii="Times New Roman;sans-serif" w:hAnsi="Times New Roman;sans-serif"/>
          <w:b w:val="false"/>
          <w:color w:val="000000"/>
          <w:sz w:val="24"/>
        </w:rPr>
        <w:t xml:space="preserve">). Applying this definition, after a Restatement, the Company will recalculate the applicable financial reporting measure and the Recoverable Amount in accordance with SEC and exchange rules. The Company will determine whether, based on that financial reporting measure as calculated relying on the original financial statements, an Executive Officer received a greater amount of Incentive-Based Compensation than would have been received applying the recalculated financial measure. Where Incentive-Based Compensation is based only in part on the achievement of a financial reporting measure performance goal, the Company will determine the portion of the original Incentive-Based Compensation based on or derived from the financial reporting measure which was restated and will recalculate the affected portion based on the financial reporting measure as restated to determine the difference between the greater amount based on the original financial statements and the lesser amount that would have been received based on the Restatement. The Recoverable Amounts will be calculated on a pre-tax basis to ensure that the Company recovers the full amount of Incentive-Based Compensation that was erroneously awarded.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no event shall the Company be required to award Executive Officers an additional payment if the restated or accurate financial results would have resulted in a higher incentive compensation payment,.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equity compensation is recoverable due to being granted to the Executive Officer (when the accounting results were the reason the equity compensation was granted) or vested by the Executive Officer (when the accounting results were the reason the equity compensation was vested), in each case in the Clawback Period, the Company will recover the excess portion of the equity award that would not have been granted or vested based on the Restatement, as follows: </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 xml:space="preserve">if the </w:t>
      </w:r>
      <w:r>
        <w:rPr>
          <w:rFonts w:ascii="Times New Roman;sans-serif" w:hAnsi="Times New Roman;sans-serif"/>
          <w:b w:val="false"/>
          <w:color w:val="000000"/>
          <w:sz w:val="24"/>
          <w:u w:val="single"/>
        </w:rPr>
        <w:t>equity award is still outstanding</w:t>
      </w:r>
      <w:r>
        <w:rPr>
          <w:rFonts w:ascii="Times New Roman;sans-serif" w:hAnsi="Times New Roman;sans-serif"/>
          <w:b w:val="false"/>
          <w:color w:val="000000"/>
          <w:sz w:val="24"/>
        </w:rPr>
        <w:t xml:space="preserve">, the Executive Officer will forfeit the excess portion of the award; </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 xml:space="preserve">if the </w:t>
      </w:r>
      <w:r>
        <w:rPr>
          <w:rFonts w:ascii="Times New Roman;sans-serif" w:hAnsi="Times New Roman;sans-serif"/>
          <w:b w:val="false"/>
          <w:color w:val="000000"/>
          <w:sz w:val="24"/>
          <w:u w:val="single"/>
        </w:rPr>
        <w:t>equity award has been exercised or settled into shares</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u w:val="single"/>
        </w:rPr>
        <w:t>Underlying Shares</w:t>
      </w:r>
      <w:r>
        <w:rPr>
          <w:color w:val="000000"/>
        </w:rPr>
        <w:t>”</w:t>
      </w:r>
      <w:r>
        <w:rPr>
          <w:rFonts w:ascii="Times New Roman;sans-serif" w:hAnsi="Times New Roman;sans-serif"/>
          <w:b w:val="false"/>
          <w:color w:val="000000"/>
          <w:sz w:val="24"/>
        </w:rPr>
        <w:t xml:space="preserve">), and the Executive Officer still holds the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Underlying Shares, the Company will recover the number of Underlying Shares relating to the excess portion of the award (less any exercise price paid for the Underlying Shares); and </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 xml:space="preserve">if the </w:t>
      </w:r>
      <w:r>
        <w:rPr>
          <w:rFonts w:ascii="Times New Roman;sans-serif" w:hAnsi="Times New Roman;sans-serif"/>
          <w:b w:val="false"/>
          <w:color w:val="000000"/>
          <w:sz w:val="24"/>
          <w:u w:val="single"/>
        </w:rPr>
        <w:t>Underlying Shares have been sold by the Executive Officer</w:t>
      </w:r>
      <w:r>
        <w:rPr>
          <w:rFonts w:ascii="Times New Roman;sans-serif" w:hAnsi="Times New Roman;sans-serif"/>
          <w:b w:val="false"/>
          <w:color w:val="000000"/>
          <w:sz w:val="24"/>
        </w:rPr>
        <w:t xml:space="preserve">, the Company will recover the proceeds received by the Executive Officer from the sale of the Underlying Shares relating to the excess portion of the award (less any exercise price paid for the Underlying Shares).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Board (or its applicable committee) will take such action as it deems appropriate, in its sole and absolute discretion, reasonably promptly to recover the Recoverable Amount, unless a majority of the independent members of the Board (or, if composed of independent directors, the Compensation Committee) determines that it would be impracticable to recover such amount because (1) the Company has made a reasonable and documented attempt to recover the Recoverable Amount and has determined that the direct costs of enforcing recovery would exceed the Recoverable Amount or (2) recovery would, based on an opinion of counsel, likely cause an otherwise tax-qualified retirement plan, under which benefits are broadly available to employees of the Company, to fail to meet the requirements of 26 U.S.C. 401(a)(13) or 26 U.S.C. 411(a) and regulations thereunder.</w:t>
      </w:r>
    </w:p>
    <w:p>
      <w:pPr>
        <w:pStyle w:val="TextBody"/>
        <w:bidi w:val="0"/>
        <w:spacing w:lineRule="auto" w:line="240" w:before="0" w:after="240"/>
        <w:ind w:left="0" w:right="0" w:firstLine="720"/>
        <w:jc w:val="left"/>
        <w:rPr/>
      </w:pPr>
      <w:r>
        <w:rPr>
          <w:rFonts w:ascii="Times New Roman;sans-serif" w:hAnsi="Times New Roman;sans-serif"/>
          <w:b/>
          <w:color w:val="000000"/>
          <w:sz w:val="24"/>
        </w:rPr>
        <w:t>A.</w:t>
      </w:r>
      <w:r>
        <w:rPr>
          <w:rFonts w:ascii="Times New Roman;sans-serif" w:hAnsi="Times New Roman;sans-serif"/>
          <w:b/>
          <w:color w:val="000000"/>
          <w:sz w:val="24"/>
        </w:rPr>
        <w:t>Additional Clawback Required by Section 304 of the Sarbanes-Oxley Act of 2002</w:t>
      </w:r>
    </w:p>
    <w:p>
      <w:pPr>
        <w:pStyle w:val="TextBody"/>
        <w:bidi w:val="0"/>
        <w:spacing w:lineRule="auto" w:line="240" w:before="0" w:after="240"/>
        <w:ind w:left="0" w:right="0" w:firstLine="1440"/>
        <w:jc w:val="both"/>
        <w:rPr>
          <w:rFonts w:ascii="Times New Roman;sans-serif" w:hAnsi="Times New Roman;sans-serif"/>
          <w:b w:val="false"/>
          <w:color w:val="0D212A"/>
          <w:sz w:val="24"/>
        </w:rPr>
      </w:pPr>
      <w:r>
        <w:rPr>
          <w:rFonts w:ascii="Times New Roman;sans-serif" w:hAnsi="Times New Roman;sans-serif"/>
          <w:b w:val="false"/>
          <w:color w:val="0D212A"/>
          <w:sz w:val="24"/>
        </w:rPr>
        <w:t>In addition to the provisions described above, if the Company is required to prepare an accounting restatement due to the material noncompliance of the Company, as a result of misconduct, with any financial reporting requirement under the securities laws, then, in accordance with Section 304 of the Sarbanes-Oxley Act of 2002, the Chief Executive Officer and Chief Financial Officer (at the time the financial document embodying such financial reporting requirement was originally issued) shall reimburse the Company for:</w:t>
      </w:r>
    </w:p>
    <w:p>
      <w:pPr>
        <w:pStyle w:val="TextBody"/>
        <w:bidi w:val="0"/>
        <w:spacing w:lineRule="auto" w:line="240" w:before="0" w:after="240"/>
        <w:ind w:left="0" w:right="0" w:hanging="360"/>
        <w:jc w:val="left"/>
        <w:rPr/>
      </w:pPr>
      <w:r>
        <w:rPr>
          <w:color w:val="0D212A"/>
        </w:rPr>
        <w:t>•</w:t>
      </w:r>
      <w:r>
        <w:rPr>
          <w:rFonts w:ascii="Times New Roman;sans-serif" w:hAnsi="Times New Roman;sans-serif"/>
          <w:b w:val="false"/>
          <w:color w:val="0D212A"/>
          <w:sz w:val="24"/>
        </w:rPr>
        <w:t>any bonus or other incentive-based or equity-based compensation received from the Company during the 12-month period following the first public issuance or filing with the Commission (whichever first occurs) of such financial document; and </w:t>
      </w:r>
    </w:p>
    <w:p>
      <w:pPr>
        <w:pStyle w:val="TextBody"/>
        <w:bidi w:val="0"/>
        <w:spacing w:lineRule="auto" w:line="240" w:before="0" w:after="240"/>
        <w:ind w:left="0" w:right="0" w:hanging="360"/>
        <w:jc w:val="left"/>
        <w:rPr/>
      </w:pPr>
      <w:r>
        <w:rPr>
          <w:color w:val="0D212A"/>
        </w:rPr>
        <w:t>•</w:t>
      </w:r>
      <w:r>
        <w:rPr>
          <w:rFonts w:ascii="Times New Roman;sans-serif" w:hAnsi="Times New Roman;sans-serif"/>
          <w:b w:val="false"/>
          <w:color w:val="0D212A"/>
          <w:sz w:val="24"/>
        </w:rPr>
        <w:t>any profits realized from the sale of securities of the Company during that 12-month period.</w:t>
      </w:r>
    </w:p>
    <w:p>
      <w:pPr>
        <w:pStyle w:val="TextBody"/>
        <w:bidi w:val="0"/>
        <w:spacing w:lineRule="auto" w:line="240" w:before="0" w:after="240"/>
        <w:ind w:left="0" w:right="0" w:firstLine="720"/>
        <w:jc w:val="left"/>
        <w:rPr/>
      </w:pPr>
      <w:r>
        <w:rPr>
          <w:rFonts w:ascii="Times New Roman;sans-serif" w:hAnsi="Times New Roman;sans-serif"/>
          <w:b/>
          <w:color w:val="000000"/>
          <w:sz w:val="24"/>
        </w:rPr>
        <w:t>A.</w:t>
      </w:r>
      <w:r>
        <w:rPr>
          <w:rFonts w:ascii="Times New Roman;sans-serif" w:hAnsi="Times New Roman;sans-serif"/>
          <w:b/>
          <w:color w:val="000000"/>
          <w:sz w:val="24"/>
        </w:rPr>
        <w:t>Crediting of Recovery Amounts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To the extent that subsections A, B, C and D of this Policy (the “</w:t>
      </w:r>
      <w:r>
        <w:rPr>
          <w:rFonts w:ascii="Times New Roman;sans-serif" w:hAnsi="Times New Roman;sans-serif"/>
          <w:b/>
          <w:color w:val="000000"/>
          <w:sz w:val="24"/>
          <w:u w:val="single"/>
        </w:rPr>
        <w:t>Rule 10D-1 Clawback Requirements</w:t>
      </w:r>
      <w:r>
        <w:rPr>
          <w:color w:val="000000"/>
        </w:rPr>
        <w:t>”</w:t>
      </w:r>
      <w:r>
        <w:rPr>
          <w:rFonts w:ascii="Times New Roman;sans-serif" w:hAnsi="Times New Roman;sans-serif"/>
          <w:b w:val="false"/>
          <w:color w:val="000000"/>
          <w:sz w:val="24"/>
        </w:rPr>
        <w:t>) would provide for recovery of Incentive-Based Compensation recoverable by the Company pursuant to Section 304 of the Sarbanes-Oxley Act, in accordance with subsection E of this Policy (the “</w:t>
      </w:r>
      <w:r>
        <w:rPr>
          <w:rFonts w:ascii="Times New Roman;sans-serif" w:hAnsi="Times New Roman;sans-serif"/>
          <w:b/>
          <w:color w:val="000000"/>
          <w:sz w:val="24"/>
          <w:u w:val="single"/>
        </w:rPr>
        <w:t>Sarbanes-Oxley Clawback Requirements</w:t>
      </w:r>
      <w:r>
        <w:rPr>
          <w:color w:val="000000"/>
        </w:rPr>
        <w:t>”</w:t>
      </w:r>
      <w:r>
        <w:rPr>
          <w:rFonts w:ascii="Times New Roman;sans-serif" w:hAnsi="Times New Roman;sans-serif"/>
          <w:b w:val="false"/>
          <w:color w:val="000000"/>
          <w:sz w:val="24"/>
        </w:rPr>
        <w:t>), and/or any other recovery obligations (including pursuant to employment agreements, or plan awards), the amount such Executive Officer has already reimbursed the Company shall be credited to the required recovery under the Rule 10D-1 Clawback Requirements. Recovery pursuant to the Rule 10D-1 Clawback Requirements does not preclude recovery under the Sarbanes-Oxley Clawback Requirements, to the extent any applicable amounts have not been reimbursed to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color w:val="000000"/>
          <w:sz w:val="24"/>
        </w:rPr>
        <w:t>B.</w:t>
      </w:r>
      <w:r>
        <w:rPr>
          <w:rFonts w:ascii="Times New Roman;sans-serif" w:hAnsi="Times New Roman;sans-serif"/>
          <w:b/>
          <w:color w:val="000000"/>
          <w:sz w:val="24"/>
        </w:rPr>
        <w:t>General Provisions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may be amended by the Board or its applicable committee from time to time. Changes to this Policy will be communicated to all persons to whom this Policy applies.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The Company will not indemnify or provide insurance to cover any repayment of Incentive-Based Compensation in accordance with this Policy.</w:t>
      </w:r>
      <w:r>
        <w:rPr>
          <w:rFonts w:ascii="Times New Roman;sans-serif" w:hAnsi="Times New Roman;sans-serif"/>
          <w:b w:val="false"/>
          <w:color w:val="000000"/>
          <w:sz w:val="16"/>
        </w:rPr>
        <w:t>2</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of this Policy apply to the fullest extent of the law; provided however, to the extent that any provisions of this Policy are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is in addition to (and not in lieu of) any right of repayment, forfeiture or right of offset against any Executive Officer that is required pursuant to any other statutory repayment requirement (regardless of whether implemented at any time prior to or following the adoption of this Policy). Nothing in this Policy in any way detracts from or limits any obligation that those subject to it have in law or pursuant to a management, employment, consulting, equity award or other plan or agreement with the Company or any of its subsidiaries.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All determinations and decisions made by the Board (or any committee thereof) pursuant to the provisions of this Policy shall be final, conclusive and binding on the Company, its subsidiaries and the persons to whom this Policy applies. Executive Officers (as defined above) are required to acknowledge that they have read this Policy annually.</w:t>
      </w:r>
      <w:r>
        <w:rPr>
          <w:color w:val="000000"/>
        </w:rPr>
        <w:t xml:space="preserve"> </w:t>
      </w:r>
      <w:r>
        <w:rPr>
          <w:rFonts w:ascii="Times New Roman;sans-serif" w:hAnsi="Times New Roman;sans-serif"/>
          <w:b w:val="false"/>
          <w:color w:val="000000"/>
          <w:sz w:val="24"/>
        </w:rPr>
        <w:t>If you have questions about the interpretation of this Policy, please contact the Company’s Office of General Counsel.</w:t>
      </w:r>
    </w:p>
    <w:p>
      <w:pPr>
        <w:pStyle w:val="TextBody"/>
        <w:bidi w:val="0"/>
        <w:spacing w:before="0" w:after="240"/>
        <w:jc w:val="left"/>
        <w:rPr/>
      </w:pPr>
      <w:r>
        <w:rPr/>
      </w:r>
    </w:p>
    <w:p>
      <w:pPr>
        <w:pStyle w:val="TextBody"/>
        <w:bidi w:val="0"/>
        <w:spacing w:lineRule="auto" w:line="240"/>
        <w:ind w:left="0" w:right="0" w:hanging="36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Please note that the terms of any indemnification agreements should be reviewed and revised if necessary to reflect the prohibition on indemnification for clawbacks. </w:t>
      </w:r>
    </w:p>
    <w:p>
      <w:pPr>
        <w:pStyle w:val="TextBody"/>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92386/000110465915042100/a15-8228_1ex2d1.htm" TargetMode="External"/><Relationship Id="rId4" Type="http://schemas.openxmlformats.org/officeDocument/2006/relationships/hyperlink" Target="http://www.sec.gov/Archives/edgar/data/1592386/000110465915042100/a15-8228_1ex2d2.htm" TargetMode="External"/><Relationship Id="rId5" Type="http://schemas.openxmlformats.org/officeDocument/2006/relationships/hyperlink" Target="http://www.sec.gov/Archives/edgar/data/1592386/000110465915042100/a15-8228_1ex2d3.htm" TargetMode="External"/><Relationship Id="rId6" Type="http://schemas.openxmlformats.org/officeDocument/2006/relationships/hyperlink" Target="http://www.sec.gov/Archives/edgar/data/1592386/000110465917024963/a17-11616_3ex2d1.htm" TargetMode="External"/><Relationship Id="rId7" Type="http://schemas.openxmlformats.org/officeDocument/2006/relationships/hyperlink" Target="http://www.sec.gov/Archives/edgar/data/1592386/000155837017004144/virt-20170331ex22abdb0e6.htm" TargetMode="External"/><Relationship Id="rId8" Type="http://schemas.openxmlformats.org/officeDocument/2006/relationships/hyperlink" Target="http://www.sec.gov/Archives/edgar/data/1592386/000095014218002168/eh1801201_ex0201.htm" TargetMode="External"/><Relationship Id="rId9" Type="http://schemas.openxmlformats.org/officeDocument/2006/relationships/hyperlink" Target="https://www.sec.gov/Archives/edgar/data/1592386/000159238623000053/exhibit31q223.htm" TargetMode="External"/><Relationship Id="rId10" Type="http://schemas.openxmlformats.org/officeDocument/2006/relationships/hyperlink" Target="https://www.sec.gov/Archives/edgar/data/1592386/000110465915042100/a15-8228_1ex3d2.htm" TargetMode="External"/><Relationship Id="rId11" Type="http://schemas.openxmlformats.org/officeDocument/2006/relationships/hyperlink" Target="https://www.sec.gov/Archives/edgar/data/1592386/000159238620000003/exhibit41q419.htm" TargetMode="External"/><Relationship Id="rId12" Type="http://schemas.openxmlformats.org/officeDocument/2006/relationships/hyperlink" Target="http://www.sec.gov/Archives/edgar/data/1592386/000110465917042979/a17-15469_1ex4d3.htm" TargetMode="External"/><Relationship Id="rId13" Type="http://schemas.openxmlformats.org/officeDocument/2006/relationships/hyperlink" Target="https://www.sec.gov/Archives/edgar/data/0001592386/000159238621000005/exhbit104q420.htm" TargetMode="External"/><Relationship Id="rId14" Type="http://schemas.openxmlformats.org/officeDocument/2006/relationships/hyperlink" Target="http://www.sec.gov/Archives/edgar/data/1592386/000104746915001003/a2219372zex-10_2.htm" TargetMode="External"/><Relationship Id="rId15" Type="http://schemas.openxmlformats.org/officeDocument/2006/relationships/hyperlink" Target="https://www.sec.gov/Archives/edgar/data/1592386/000159238620000012/exhibit101q320.htm" TargetMode="External"/><Relationship Id="rId16" Type="http://schemas.openxmlformats.org/officeDocument/2006/relationships/hyperlink" Target="https://www.sec.gov/Archives/edgar/data/1592386/000159238622000041/exhibit1011q421.htm" TargetMode="External"/><Relationship Id="rId17" Type="http://schemas.openxmlformats.org/officeDocument/2006/relationships/hyperlink" Target="http://www.sec.gov/Archives/edgar/data/1592386/000110465915042100/a15-8228_1ex10d2.htm" TargetMode="External"/><Relationship Id="rId18" Type="http://schemas.openxmlformats.org/officeDocument/2006/relationships/hyperlink" Target="https://www.sec.gov/Archives/edgar/data/1592386/000110465915042100/a15-8228_1ex10d3.htm" TargetMode="External"/><Relationship Id="rId19" Type="http://schemas.openxmlformats.org/officeDocument/2006/relationships/hyperlink" Target="http://www.sec.gov/Archives/edgar/data/1592386/000110465915042100/a15-8228_1ex10d5.htm" TargetMode="External"/><Relationship Id="rId20" Type="http://schemas.openxmlformats.org/officeDocument/2006/relationships/hyperlink" Target="http://www.sec.gov/Archives/edgar/data/1592386/000110465915042100/a15-8228_1ex10d6.htm" TargetMode="External"/><Relationship Id="rId21" Type="http://schemas.openxmlformats.org/officeDocument/2006/relationships/hyperlink" Target="https://www.sec.gov/Archives/edgar/data/1592386/000110465915042100/a15-8228_1ex10d7.htm" TargetMode="External"/><Relationship Id="rId22" Type="http://schemas.openxmlformats.org/officeDocument/2006/relationships/hyperlink" Target="http://www.sec.gov/Archives/edgar/data/1592386/000110465915042100/a15-8228_1ex10d8.htm" TargetMode="External"/><Relationship Id="rId23" Type="http://schemas.openxmlformats.org/officeDocument/2006/relationships/hyperlink" Target="https://www.sec.gov/Archives/edgar/data/1592386/000110465915042100/a15-8228_1ex10d9.htm" TargetMode="External"/><Relationship Id="rId24" Type="http://schemas.openxmlformats.org/officeDocument/2006/relationships/hyperlink" Target="http://www.sec.gov/Archives/edgar/data/1592386/000110465915042100/a15-8228_1ex10d10.htm" TargetMode="External"/><Relationship Id="rId25" Type="http://schemas.openxmlformats.org/officeDocument/2006/relationships/hyperlink" Target="http://www.sec.gov/Archives/edgar/data/1592386/000110465915042100/a15-8228_1ex10d11.htm" TargetMode="External"/><Relationship Id="rId26" Type="http://schemas.openxmlformats.org/officeDocument/2006/relationships/hyperlink" Target="https://www.sec.gov/Archives/edgar/data/1592386/000155837017004144/virt-20170331ex10240ef25.htm" TargetMode="External"/><Relationship Id="rId27" Type="http://schemas.openxmlformats.org/officeDocument/2006/relationships/hyperlink" Target="https://www.sec.gov/Archives/edgar/data/1592386/000155837017004144/virt-20170331ex103b78259.htm" TargetMode="External"/><Relationship Id="rId28" Type="http://schemas.openxmlformats.org/officeDocument/2006/relationships/hyperlink" Target="http://www.sec.gov/Archives/edgar/data/1592386/000110465917037232/a17-14679_1ex10d1.htm" TargetMode="External"/><Relationship Id="rId29" Type="http://schemas.openxmlformats.org/officeDocument/2006/relationships/hyperlink" Target="http://www.sec.gov/Archives/edgar/data/1592386/000155837018002007/virt-20171231ex10302f561.htm" TargetMode="External"/><Relationship Id="rId30" Type="http://schemas.openxmlformats.org/officeDocument/2006/relationships/hyperlink" Target="http://www.sec.gov/Archives/edgar/data/1592386/000110465919011958/a19-5537_1ex4d3.htm" TargetMode="External"/><Relationship Id="rId31" Type="http://schemas.openxmlformats.org/officeDocument/2006/relationships/hyperlink" Target="https://www.sec.gov/Archives/edgar/data/0001592386/000159238621000005/exhibit1034q420.htm" TargetMode="External"/><Relationship Id="rId32" Type="http://schemas.openxmlformats.org/officeDocument/2006/relationships/hyperlink" Target="https://www.sec.gov/Archives/edgar/data/1592386/000159238621000005/exhibit1037q420.htm" TargetMode="External"/><Relationship Id="rId33" Type="http://schemas.openxmlformats.org/officeDocument/2006/relationships/hyperlink" Target="https://www.sec.gov/Archives/edgar/data/1592386/000159238621000005/exhibit1038q420.htm" TargetMode="External"/><Relationship Id="rId34" Type="http://schemas.openxmlformats.org/officeDocument/2006/relationships/hyperlink" Target="https://www.sec.gov/Archives/edgar/data/1592386/000159238621000005/exhibit1039q420.htm" TargetMode="External"/><Relationship Id="rId35" Type="http://schemas.openxmlformats.org/officeDocument/2006/relationships/hyperlink" Target="https://www.sec.gov/Archives/edgar/data/1592386/000159238622000041/exhibit1042q421.htm" TargetMode="External"/><Relationship Id="rId36" Type="http://schemas.openxmlformats.org/officeDocument/2006/relationships/hyperlink" Target="https://www.sec.gov/Archives/edgar/data/1592386/000159238622000041/exhibit1043q421.htm" TargetMode="External"/><Relationship Id="rId37" Type="http://schemas.openxmlformats.org/officeDocument/2006/relationships/hyperlink" Target="https://www.sec.gov/Archives/edgar/data/1592386/000159238622000041/exhibit1044q421.htm" TargetMode="External"/><Relationship Id="rId38" Type="http://schemas.openxmlformats.org/officeDocument/2006/relationships/hyperlink" Target="https://www.sec.gov/Archives/edgar/data/1592386/000159238622000041/exhibit1045q421.htm" TargetMode="External"/><Relationship Id="rId39" Type="http://schemas.openxmlformats.org/officeDocument/2006/relationships/hyperlink" Target="https://www.sec.gov/Archives/edgar/data/1592386/000159238622000041/exhibit1046q421.htm" TargetMode="External"/><Relationship Id="rId40" Type="http://schemas.openxmlformats.org/officeDocument/2006/relationships/hyperlink" Target="https://www.sec.gov/Archives/edgar/data/1592386/000159238622000041/exhibit1047q421.htm" TargetMode="External"/><Relationship Id="rId41" Type="http://schemas.openxmlformats.org/officeDocument/2006/relationships/hyperlink" Target="https://www.sec.gov/Archives/edgar/data/1592386/000159238622000041/exhibit1048q421.htm" TargetMode="External"/><Relationship Id="rId42" Type="http://schemas.openxmlformats.org/officeDocument/2006/relationships/hyperlink" Target="https://www.sec.gov/Archives/edgar/data/1592386/000159238621000005/exhibit1040q420.htm" TargetMode="External"/><Relationship Id="rId43" Type="http://schemas.openxmlformats.org/officeDocument/2006/relationships/hyperlink" Target="https://www.sec.gov/Archives/edgar/data/1592386/000159238622000048/exhibit101q122.htm" TargetMode="External"/><Relationship Id="rId44" Type="http://schemas.openxmlformats.org/officeDocument/2006/relationships/hyperlink" Target="https://www.sec.gov/Archives/edgar/data/1592386/000159238622000048/exhibit101q122.htm" TargetMode="External"/><Relationship Id="rId45" Type="http://schemas.openxmlformats.org/officeDocument/2006/relationships/hyperlink" Target="https://www.sec.gov/Archives/edgar/data/1592386/000159238622000048/exhibit101q122.htm" TargetMode="External"/><Relationship Id="rId46" Type="http://schemas.openxmlformats.org/officeDocument/2006/relationships/hyperlink" Target="https://www.sec.gov/Archives/edgar/data/1592386/000159238622000048/exhibit101q122.htm" TargetMode="External"/><Relationship Id="rId47" Type="http://schemas.openxmlformats.org/officeDocument/2006/relationships/hyperlink" Target="https://www.sec.gov/Archives/edgar/data/1592386/000159238622000048/exhibit101q122.htm" TargetMode="External"/><Relationship Id="rId48" Type="http://schemas.openxmlformats.org/officeDocument/2006/relationships/hyperlink" Target="https://www.sec.gov/Archives/edgar/data/1592386/000159238622000073/exhibit101q222.htm" TargetMode="External"/><Relationship Id="rId49" Type="http://schemas.openxmlformats.org/officeDocument/2006/relationships/hyperlink" Target="https://www.sec.gov/Archives/edgar/data/1592386/000159238623000025/exhibit1046q422.htm" TargetMode="External"/><Relationship Id="rId50" Type="http://schemas.openxmlformats.org/officeDocument/2006/relationships/hyperlink" Target="https://www.sec.gov/Archives/edgar/data/1592386/000159238623000025/exhibit1047q422.htm" TargetMode="External"/><Relationship Id="rId51" Type="http://schemas.openxmlformats.org/officeDocument/2006/relationships/hyperlink" Target="https://www.sec.gov/Archives/edgar/data/1592386/000159238623000025/exhibit1048q422.htm" TargetMode="External"/><Relationship Id="rId52" Type="http://schemas.openxmlformats.org/officeDocument/2006/relationships/hyperlink" Target="https://www.sec.gov/Archives/edgar/data/1592386/000159238623000025/exhibit1049q422.htm" TargetMode="External"/><Relationship Id="rId53" Type="http://schemas.openxmlformats.org/officeDocument/2006/relationships/hyperlink" Target="https://www.sec.gov/Archives/edgar/data/1592386/000159238623000025/exhibit1049q422.htm" TargetMode="External"/><Relationship Id="rId54" Type="http://schemas.openxmlformats.org/officeDocument/2006/relationships/hyperlink" Target="https://www.sec.gov/Archives/edgar/data/1592386/000159238623000025/exhibit1049q422.htm" TargetMode="External"/><Relationship Id="rId55" Type="http://schemas.openxmlformats.org/officeDocument/2006/relationships/hyperlink" Target="https://www.sec.gov/Archives/edgar/data/1592386/000159238623000025/exhibit1049q422.htm" TargetMode="External"/><Relationship Id="rId56" Type="http://schemas.openxmlformats.org/officeDocument/2006/relationships/hyperlink" Target="https://www.sec.gov/Archives/edgar/data/1592386/000159238623000025/exhibit1049q422.htm" TargetMode="External"/><Relationship Id="rId57" Type="http://schemas.openxmlformats.org/officeDocument/2006/relationships/hyperlink" Target="https://www.sec.gov/Archives/edgar/data/1592386/000159238623000028/exhibit101q123.htm" TargetMode="External"/><Relationship Id="rId58" Type="http://schemas.openxmlformats.org/officeDocument/2006/relationships/hyperlink" Target="https://www.sec.gov/Archives/edgar/data/1592386/000159238623000028/exhibit102q123.htm" TargetMode="External"/><Relationship Id="rId59" Type="http://schemas.openxmlformats.org/officeDocument/2006/relationships/hyperlink" Target="https://www.sec.gov/Archives/edgar/data/1592386/000159238623000028/exhibit102q123.htm" TargetMode="External"/><Relationship Id="rId60" Type="http://schemas.openxmlformats.org/officeDocument/2006/relationships/hyperlink" Target="https://www.sec.gov/Archives/edgar/data/1592386/000159238623000028/exhibit102q123.htm" TargetMode="External"/><Relationship Id="rId61" Type="http://schemas.openxmlformats.org/officeDocument/2006/relationships/hyperlink" Target="https://www.sec.gov/Archives/edgar/data/1592386/000159238623000028/exhibit103q123.htm" TargetMode="External"/><Relationship Id="rId62" Type="http://schemas.openxmlformats.org/officeDocument/2006/relationships/hyperlink" Target="https://www.sec.gov/Archives/edgar/data/1592386/000159238623000028/exhibit104q123.htm" TargetMode="External"/><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86828</Words>
  <Characters>490971</Characters>
  <CharactersWithSpaces>574633</CharactersWithSpaces>
  <Paragraphs>7360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