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5"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8" w:lineRule="exact"/>
        <w:rPr>
          <w:sz w:val="24"/>
          <w:szCs w:val="24"/>
          <w:color w:val="auto"/>
        </w:rPr>
      </w:pPr>
    </w:p>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SECURITIES AND EXCHANGE COMMISSION</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Washington, D.C. 20549</w:t>
      </w:r>
    </w:p>
    <w:p>
      <w:pPr>
        <w:spacing w:after="0" w:line="171" w:lineRule="exact"/>
        <w:rPr>
          <w:sz w:val="24"/>
          <w:szCs w:val="24"/>
          <w:color w:val="auto"/>
        </w:rPr>
      </w:pPr>
    </w:p>
    <w:p>
      <w:pPr>
        <w:ind w:left="4940"/>
        <w:spacing w:after="0"/>
        <w:rPr>
          <w:sz w:val="20"/>
          <w:szCs w:val="20"/>
          <w:color w:val="auto"/>
        </w:rPr>
      </w:pPr>
      <w:r>
        <w:rPr>
          <w:rFonts w:ascii="Arial" w:cs="Arial" w:eastAsia="Arial" w:hAnsi="Arial"/>
          <w:sz w:val="21"/>
          <w:szCs w:val="21"/>
          <w:b w:val="1"/>
          <w:bCs w:val="1"/>
          <w:color w:val="auto"/>
        </w:rPr>
        <w:t>SCHEDULE 14A</w:t>
      </w:r>
    </w:p>
    <w:p>
      <w:pPr>
        <w:sectPr>
          <w:pgSz w:w="11900" w:h="16838" w:orient="portrait"/>
          <w:cols w:equalWidth="0" w:num="1">
            <w:col w:w="10219"/>
          </w:cols>
          <w:pgMar w:left="240" w:top="601" w:right="1440" w:bottom="1440" w:gutter="0" w:footer="0" w:header="0"/>
        </w:sectPr>
      </w:pPr>
    </w:p>
    <w:p>
      <w:pPr>
        <w:spacing w:after="0" w:line="1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Proxy Statement Pursuant to Section 14(a) of</w:t>
      </w:r>
    </w:p>
    <w:p>
      <w:pPr>
        <w:spacing w:after="0" w:line="39" w:lineRule="exact"/>
        <w:rPr>
          <w:sz w:val="24"/>
          <w:szCs w:val="24"/>
          <w:color w:val="auto"/>
        </w:rPr>
      </w:pPr>
    </w:p>
    <w:p>
      <w:pPr>
        <w:ind w:left="3880"/>
        <w:spacing w:after="0"/>
        <w:rPr>
          <w:sz w:val="20"/>
          <w:szCs w:val="20"/>
          <w:color w:val="auto"/>
        </w:rPr>
      </w:pPr>
      <w:r>
        <w:rPr>
          <w:rFonts w:ascii="Arial" w:cs="Arial" w:eastAsia="Arial" w:hAnsi="Arial"/>
          <w:sz w:val="13"/>
          <w:szCs w:val="13"/>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rPr>
          <w:sz w:val="20"/>
          <w:szCs w:val="20"/>
          <w:color w:val="auto"/>
        </w:rPr>
      </w:pPr>
      <w:r>
        <w:rPr>
          <w:rFonts w:ascii="Arial" w:cs="Arial" w:eastAsia="Arial" w:hAnsi="Arial"/>
          <w:sz w:val="15"/>
          <w:szCs w:val="15"/>
          <w:color w:val="auto"/>
        </w:rPr>
        <w:t>)</w:t>
      </w:r>
    </w:p>
    <w:p>
      <w:pPr>
        <w:spacing w:after="0" w:line="166" w:lineRule="exact"/>
        <w:rPr>
          <w:sz w:val="24"/>
          <w:szCs w:val="24"/>
          <w:color w:val="auto"/>
        </w:rPr>
      </w:pPr>
    </w:p>
    <w:p>
      <w:pPr>
        <w:sectPr>
          <w:pgSz w:w="11900" w:h="16838" w:orient="portrait"/>
          <w:cols w:equalWidth="0" w:num="2">
            <w:col w:w="7140" w:space="360"/>
            <w:col w:w="2719"/>
          </w:cols>
          <w:pgMar w:left="240" w:top="601" w:right="1440" w:bottom="1440" w:gutter="0" w:footer="0" w:header="0"/>
          <w:type w:val="continuous"/>
        </w:sectPr>
      </w:pPr>
    </w:p>
    <w:p>
      <w:pPr>
        <w:ind w:left="11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4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19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Check the appropriate box:</w:t>
      </w:r>
    </w:p>
    <w:p>
      <w:pPr>
        <w:spacing w:after="0" w:line="217" w:lineRule="exact"/>
        <w:rPr>
          <w:sz w:val="24"/>
          <w:szCs w:val="24"/>
          <w:color w:val="auto"/>
        </w:rPr>
      </w:pPr>
    </w:p>
    <w:p>
      <w:pPr>
        <w:ind w:left="1460" w:hanging="324"/>
        <w:spacing w:after="0"/>
        <w:tabs>
          <w:tab w:leader="none" w:pos="1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212" w:lineRule="exact"/>
        <w:rPr>
          <w:rFonts w:ascii="Arial" w:cs="Arial" w:eastAsia="Arial" w:hAnsi="Arial"/>
          <w:sz w:val="15"/>
          <w:szCs w:val="15"/>
          <w:color w:val="auto"/>
        </w:rPr>
      </w:pPr>
    </w:p>
    <w:p>
      <w:pPr>
        <w:ind w:left="1460" w:hanging="324"/>
        <w:spacing w:after="0"/>
        <w:tabs>
          <w:tab w:leader="none" w:pos="14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21" w:lineRule="exact"/>
        <w:rPr>
          <w:sz w:val="24"/>
          <w:szCs w:val="24"/>
          <w:color w:val="auto"/>
        </w:rPr>
      </w:pPr>
    </w:p>
    <w:p>
      <w:pPr>
        <w:ind w:left="1460" w:hanging="324"/>
        <w:spacing w:after="0"/>
        <w:tabs>
          <w:tab w:leader="none" w:pos="14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217" w:lineRule="exact"/>
        <w:rPr>
          <w:sz w:val="24"/>
          <w:szCs w:val="24"/>
          <w:color w:val="auto"/>
        </w:rPr>
      </w:pPr>
    </w:p>
    <w:p>
      <w:pPr>
        <w:ind w:left="1460" w:hanging="324"/>
        <w:spacing w:after="0"/>
        <w:tabs>
          <w:tab w:leader="none" w:pos="1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216" w:lineRule="exact"/>
        <w:rPr>
          <w:rFonts w:ascii="Arial" w:cs="Arial" w:eastAsia="Arial" w:hAnsi="Arial"/>
          <w:sz w:val="15"/>
          <w:szCs w:val="15"/>
          <w:color w:val="auto"/>
        </w:rPr>
      </w:pPr>
    </w:p>
    <w:p>
      <w:pPr>
        <w:ind w:left="1460" w:hanging="324"/>
        <w:spacing w:after="0"/>
        <w:tabs>
          <w:tab w:leader="none" w:pos="1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pacing w:after="0" w:line="356" w:lineRule="exact"/>
        <w:rPr>
          <w:sz w:val="24"/>
          <w:szCs w:val="24"/>
          <w:color w:val="auto"/>
        </w:rPr>
      </w:pPr>
    </w:p>
    <w:p>
      <w:pPr>
        <w:jc w:val="center"/>
        <w:ind w:right="-1200"/>
        <w:spacing w:after="0"/>
        <w:rPr>
          <w:sz w:val="20"/>
          <w:szCs w:val="20"/>
          <w:color w:val="auto"/>
        </w:rPr>
      </w:pPr>
      <w:r>
        <w:rPr>
          <w:rFonts w:ascii="Arial" w:cs="Arial" w:eastAsia="Arial" w:hAnsi="Arial"/>
          <w:sz w:val="15"/>
          <w:szCs w:val="15"/>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64770</wp:posOffset>
            </wp:positionV>
            <wp:extent cx="58286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155" w:lineRule="exact"/>
        <w:rPr>
          <w:sz w:val="24"/>
          <w:szCs w:val="24"/>
          <w:color w:val="auto"/>
        </w:rPr>
      </w:pPr>
    </w:p>
    <w:p>
      <w:pPr>
        <w:ind w:left="4280"/>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309245</wp:posOffset>
            </wp:positionV>
            <wp:extent cx="58286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3560"/>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9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Payment of Filing Fee (Check the appropriate box):</w:t>
      </w:r>
    </w:p>
    <w:p>
      <w:pPr>
        <w:spacing w:after="0" w:line="217" w:lineRule="exact"/>
        <w:rPr>
          <w:sz w:val="24"/>
          <w:szCs w:val="24"/>
          <w:color w:val="auto"/>
        </w:rPr>
      </w:pPr>
    </w:p>
    <w:p>
      <w:pPr>
        <w:ind w:left="1460" w:hanging="324"/>
        <w:spacing w:after="0"/>
        <w:tabs>
          <w:tab w:leader="none" w:pos="146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7" w:lineRule="exact"/>
        <w:rPr>
          <w:sz w:val="24"/>
          <w:szCs w:val="24"/>
          <w:color w:val="auto"/>
        </w:rPr>
      </w:pPr>
    </w:p>
    <w:p>
      <w:pPr>
        <w:ind w:left="1460" w:hanging="324"/>
        <w:spacing w:after="0"/>
        <w:tabs>
          <w:tab w:leader="none" w:pos="1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6"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22"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28" w:lineRule="exact"/>
        <w:rPr>
          <w:rFonts w:ascii="Arial" w:cs="Arial" w:eastAsia="Arial" w:hAnsi="Arial"/>
          <w:sz w:val="15"/>
          <w:szCs w:val="15"/>
          <w:color w:val="auto"/>
        </w:rPr>
      </w:pPr>
    </w:p>
    <w:p>
      <w:pPr>
        <w:ind w:left="1840" w:right="279" w:hanging="372"/>
        <w:spacing w:after="0" w:line="277" w:lineRule="auto"/>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34" w:lineRule="exact"/>
        <w:rPr>
          <w:rFonts w:ascii="Arial" w:cs="Arial" w:eastAsia="Arial" w:hAnsi="Arial"/>
          <w:sz w:val="15"/>
          <w:szCs w:val="15"/>
          <w:color w:val="auto"/>
        </w:rPr>
      </w:pPr>
    </w:p>
    <w:p>
      <w:pPr>
        <w:ind w:left="1460" w:hanging="324"/>
        <w:spacing w:after="0"/>
        <w:tabs>
          <w:tab w:leader="none" w:pos="1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6" w:lineRule="exact"/>
        <w:rPr>
          <w:rFonts w:ascii="Arial" w:cs="Arial" w:eastAsia="Arial" w:hAnsi="Arial"/>
          <w:sz w:val="15"/>
          <w:szCs w:val="15"/>
          <w:color w:val="auto"/>
        </w:rPr>
      </w:pPr>
    </w:p>
    <w:p>
      <w:pPr>
        <w:ind w:left="1460" w:right="59" w:hanging="324"/>
        <w:spacing w:after="0" w:line="314" w:lineRule="auto"/>
        <w:tabs>
          <w:tab w:leader="none" w:pos="1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0" w:lineRule="exact"/>
        <w:rPr>
          <w:rFonts w:ascii="Arial" w:cs="Arial" w:eastAsia="Arial" w:hAnsi="Arial"/>
          <w:sz w:val="14"/>
          <w:szCs w:val="14"/>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7265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-2749550</wp:posOffset>
            </wp:positionV>
            <wp:extent cx="53708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-2495550</wp:posOffset>
            </wp:positionV>
            <wp:extent cx="53708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-2124710</wp:posOffset>
            </wp:positionV>
            <wp:extent cx="53708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-1870075</wp:posOffset>
            </wp:positionV>
            <wp:extent cx="53708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-1616075</wp:posOffset>
            </wp:positionV>
            <wp:extent cx="53708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-620395</wp:posOffset>
            </wp:positionV>
            <wp:extent cx="53708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-365760</wp:posOffset>
            </wp:positionV>
            <wp:extent cx="53708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-111760</wp:posOffset>
            </wp:positionV>
            <wp:extent cx="53708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142240</wp:posOffset>
            </wp:positionV>
            <wp:extent cx="53708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70830" cy="6985"/>
                    </a:xfrm>
                    <a:prstGeom prst="rect">
                      <a:avLst/>
                    </a:prstGeom>
                    <a:noFill/>
                  </pic:spPr>
                </pic:pic>
              </a:graphicData>
            </a:graphic>
          </wp:anchor>
        </w:drawing>
      </w:r>
    </w:p>
    <w:p>
      <w:pPr>
        <w:sectPr>
          <w:pgSz w:w="11900" w:h="16838" w:orient="portrait"/>
          <w:cols w:equalWidth="0" w:num="1">
            <w:col w:w="10219"/>
          </w:cols>
          <w:pgMar w:left="240" w:top="601" w:right="1440" w:bottom="1440" w:gutter="0" w:footer="0" w:header="0"/>
          <w:type w:val="continuous"/>
        </w:sectPr>
      </w:pPr>
    </w:p>
    <w:bookmarkStart w:id="1" w:name="page2"/>
    <w:bookmarkEnd w:id="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127635</wp:posOffset>
            </wp:positionV>
            <wp:extent cx="1264285" cy="399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4285"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Virtu Financial, Inc.</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One Liberty Plaza</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165 Broadway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New York, New York 10006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NOTICE OF ANNUAL MEETING OF STOCKHOLDERS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June 4, 2019</w:t>
      </w:r>
    </w:p>
    <w:p>
      <w:pPr>
        <w:spacing w:after="0" w:line="198" w:lineRule="exact"/>
        <w:rPr>
          <w:sz w:val="20"/>
          <w:szCs w:val="20"/>
          <w:color w:val="auto"/>
        </w:rPr>
      </w:pPr>
    </w:p>
    <w:p>
      <w:pPr>
        <w:ind w:right="200" w:firstLine="298"/>
        <w:spacing w:after="0" w:line="277" w:lineRule="auto"/>
        <w:rPr>
          <w:sz w:val="20"/>
          <w:szCs w:val="20"/>
          <w:color w:val="auto"/>
        </w:rPr>
      </w:pPr>
      <w:r>
        <w:rPr>
          <w:rFonts w:ascii="Arial" w:cs="Arial" w:eastAsia="Arial" w:hAnsi="Arial"/>
          <w:sz w:val="15"/>
          <w:szCs w:val="15"/>
          <w:color w:val="auto"/>
        </w:rPr>
        <w:t>Notice is hereby given that the 2019 annual meeting of stockholders (the "Annual Meeting") of Virtu Financial, Inc., a Delaware corporation (the "Company", "Virtu" or "we"), will be held on Tuesday, June 4, 2019 at 9:00 a.m. (Eastern Time) at Virtu Financial, Inc., One Liberty Plaza, 165 Broadway, New York, New York 10006.</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are holding the meeting for the following purposes:</w:t>
      </w:r>
    </w:p>
    <w:p>
      <w:pPr>
        <w:spacing w:after="0" w:line="205" w:lineRule="exact"/>
        <w:rPr>
          <w:sz w:val="20"/>
          <w:szCs w:val="20"/>
          <w:color w:val="auto"/>
        </w:rPr>
      </w:pPr>
    </w:p>
    <w:p>
      <w:pPr>
        <w:ind w:left="900" w:right="40" w:hanging="451"/>
        <w:spacing w:after="0" w:line="277"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elect four directors to our board of directors, each to serve as a Class I director for a term of three years expiring at the annual meeting of stockholders to be held in 2022 and until such director's successor has been duly elected and qualified;</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approve, on an advisory basis, the compensation of our named executive officers as disclosed in the accompanying proxy statement;</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approve, on an advisory basis, the frequency (every one, two or three years) of future advisory votes to approve the compensation of our named executive officers;</w:t>
      </w:r>
    </w:p>
    <w:p>
      <w:pPr>
        <w:spacing w:after="0" w:line="216" w:lineRule="exact"/>
        <w:rPr>
          <w:rFonts w:ascii="Arial" w:cs="Arial" w:eastAsia="Arial" w:hAnsi="Arial"/>
          <w:sz w:val="14"/>
          <w:szCs w:val="14"/>
          <w:color w:val="auto"/>
        </w:rPr>
      </w:pPr>
    </w:p>
    <w:p>
      <w:pPr>
        <w:ind w:left="900" w:hanging="451"/>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ratify the appointment of PricewaterhouseCoopers LLP as our independent registered public accounting firm for the fiscal year ending December 31, 2019; and</w:t>
      </w:r>
    </w:p>
    <w:p>
      <w:pPr>
        <w:spacing w:after="0" w:line="228" w:lineRule="exact"/>
        <w:rPr>
          <w:rFonts w:ascii="Arial" w:cs="Arial" w:eastAsia="Arial" w:hAnsi="Arial"/>
          <w:sz w:val="14"/>
          <w:szCs w:val="14"/>
          <w:color w:val="auto"/>
        </w:rPr>
      </w:pPr>
    </w:p>
    <w:p>
      <w:pPr>
        <w:ind w:left="900" w:hanging="451"/>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transact any other business as may properly come before the Annual Meeting or any adjournment or postponement thereof.</w:t>
      </w:r>
    </w:p>
    <w:p>
      <w:pPr>
        <w:spacing w:after="0" w:line="194"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Only stockholders of record as of the close of business on April 12, 2019 (the "Record Date") will be entitled to attend or vote at the Annual Meeting or any adjournment or postponement thereof.</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 make it easy to vote, Internet and telephone voting are available. The instructions for voting are on the proxy card.</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If you hold your shares through a bank, broker or other holder of record, please follow the voting instructions you received from the holder of record.</w:t>
      </w:r>
    </w:p>
    <w:p>
      <w:pPr>
        <w:spacing w:after="0" w:line="194" w:lineRule="exact"/>
        <w:rPr>
          <w:sz w:val="20"/>
          <w:szCs w:val="20"/>
          <w:color w:val="auto"/>
        </w:rPr>
      </w:pPr>
    </w:p>
    <w:p>
      <w:pPr>
        <w:ind w:right="20" w:firstLine="298"/>
        <w:spacing w:after="0" w:line="262" w:lineRule="auto"/>
        <w:rPr>
          <w:sz w:val="20"/>
          <w:szCs w:val="20"/>
          <w:color w:val="auto"/>
        </w:rPr>
      </w:pPr>
      <w:r>
        <w:rPr>
          <w:rFonts w:ascii="Arial" w:cs="Arial" w:eastAsia="Arial" w:hAnsi="Arial"/>
          <w:sz w:val="15"/>
          <w:szCs w:val="15"/>
          <w:color w:val="auto"/>
        </w:rPr>
        <w:t>If you plan to attend the Annual Meeting and you are a registered stockholder, please bring a valid, government-issued photo identification (such as a driver's license or a passport). If you are the beneficial owner of shares held in "street name" through a bank, broker or other intermediary, you should bring proof of ownership of our common stock as of the Record Date and government-issued photo identification. A recent brokerage statement or a letter from your bank, broker or other intermediary that shows your ownership of Virtu common stock as of the Record Date are examples of proof of ownership.</w:t>
      </w:r>
    </w:p>
    <w:p>
      <w:pPr>
        <w:spacing w:after="0" w:line="162" w:lineRule="exact"/>
        <w:rPr>
          <w:sz w:val="20"/>
          <w:szCs w:val="20"/>
          <w:color w:val="auto"/>
        </w:rPr>
      </w:pPr>
    </w:p>
    <w:p>
      <w:pPr>
        <w:ind w:right="300" w:firstLine="298"/>
        <w:spacing w:after="0" w:line="277" w:lineRule="auto"/>
        <w:rPr>
          <w:sz w:val="20"/>
          <w:szCs w:val="20"/>
          <w:color w:val="auto"/>
        </w:rPr>
      </w:pPr>
      <w:r>
        <w:rPr>
          <w:rFonts w:ascii="Arial" w:cs="Arial" w:eastAsia="Arial" w:hAnsi="Arial"/>
          <w:sz w:val="15"/>
          <w:szCs w:val="15"/>
          <w:color w:val="auto"/>
        </w:rPr>
        <w:t>Use of cameras, recording devices, computers, and other electronic devices, such as smartphones and tablets, will not be permitted at the Annual Meeting. Photography and video are prohibited at the Annual Meeting.</w:t>
      </w:r>
    </w:p>
    <w:p>
      <w:pPr>
        <w:spacing w:after="0" w:line="147" w:lineRule="exact"/>
        <w:rPr>
          <w:sz w:val="20"/>
          <w:szCs w:val="20"/>
          <w:color w:val="auto"/>
        </w:rPr>
      </w:pPr>
    </w:p>
    <w:p>
      <w:pPr>
        <w:ind w:right="240" w:firstLine="298"/>
        <w:spacing w:after="0" w:line="282" w:lineRule="auto"/>
        <w:rPr>
          <w:sz w:val="20"/>
          <w:szCs w:val="20"/>
          <w:color w:val="auto"/>
        </w:rPr>
      </w:pPr>
      <w:r>
        <w:rPr>
          <w:rFonts w:ascii="Arial" w:cs="Arial" w:eastAsia="Arial" w:hAnsi="Arial"/>
          <w:sz w:val="15"/>
          <w:szCs w:val="15"/>
          <w:b w:val="1"/>
          <w:bCs w:val="1"/>
          <w:color w:val="auto"/>
        </w:rPr>
        <w:t>Your vote is important. Whether or not you plan to attend the Annual Meeting in person, we hope you will vote your shares as soon as possible. Please mark, sign, date, and return the accompanying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27265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b w:val="1"/>
          <w:bCs w:val="1"/>
          <w:color w:val="auto"/>
        </w:rPr>
        <w:t>proxy card or voting instruction form in the postage-paid envelope or instruct us by telephone or via the Internet as to how you would like your shares voted. Instructions are included on the proxy card and voting instruction form.</w:t>
      </w:r>
    </w:p>
    <w:p>
      <w:pPr>
        <w:spacing w:after="0" w:line="148"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By Order of the Board of Directors</w:t>
      </w:r>
    </w:p>
    <w:p>
      <w:pPr>
        <w:spacing w:after="0" w:line="217"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62230</wp:posOffset>
            </wp:positionV>
            <wp:extent cx="350266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02660" cy="6985"/>
                    </a:xfrm>
                    <a:prstGeom prst="rect">
                      <a:avLst/>
                    </a:prstGeom>
                    <a:noFill/>
                  </pic:spPr>
                </pic:pic>
              </a:graphicData>
            </a:graphic>
          </wp:anchor>
        </w:drawing>
      </w:r>
    </w:p>
    <w:p>
      <w:pPr>
        <w:spacing w:after="0" w:line="151"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Robert Greifeld</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5"/>
          <w:szCs w:val="15"/>
          <w:i w:val="1"/>
          <w:iCs w:val="1"/>
          <w:color w:val="auto"/>
        </w:rPr>
        <w:t>Chairman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April 25, 2019</w:t>
      </w:r>
    </w:p>
    <w:p>
      <w:pPr>
        <w:spacing w:after="0" w:line="184" w:lineRule="exact"/>
        <w:rPr>
          <w:sz w:val="20"/>
          <w:szCs w:val="20"/>
          <w:color w:val="auto"/>
        </w:rPr>
      </w:pPr>
    </w:p>
    <w:p>
      <w:pPr>
        <w:ind w:firstLine="298"/>
        <w:spacing w:after="0" w:line="282" w:lineRule="auto"/>
        <w:rPr>
          <w:sz w:val="20"/>
          <w:szCs w:val="20"/>
          <w:color w:val="auto"/>
        </w:rPr>
      </w:pPr>
      <w:r>
        <w:rPr>
          <w:rFonts w:ascii="Arial" w:cs="Arial" w:eastAsia="Arial" w:hAnsi="Arial"/>
          <w:sz w:val="15"/>
          <w:szCs w:val="15"/>
          <w:b w:val="1"/>
          <w:bCs w:val="1"/>
          <w:color w:val="auto"/>
        </w:rPr>
        <w:t>IMPORTANT NOTICE REGARDING THE AVAILABILITY OF PROXY MATERIALS FOR THE ANNUAL MEETING TO BE HELD ON JUNE 4, 2019: Virtu's Proxy Statement and Annual Report on Form 10-K for the fiscal year ended December 31, 2018 are also available at https://materials.proxyvote.com/928254.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27265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160"/>
          </w:cols>
          <w:pgMar w:left="240" w:top="132" w:right="49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40" w:type="dxa"/>
            <w:vAlign w:val="bottom"/>
            <w:gridSpan w:val="9"/>
          </w:tcPr>
          <w:p>
            <w:pPr>
              <w:ind w:left="640"/>
              <w:spacing w:after="0"/>
              <w:rPr>
                <w:sz w:val="20"/>
                <w:szCs w:val="20"/>
                <w:color w:val="auto"/>
              </w:rPr>
            </w:pPr>
            <w:r>
              <w:rPr>
                <w:rFonts w:ascii="Arial" w:cs="Arial" w:eastAsia="Arial" w:hAnsi="Arial"/>
                <w:sz w:val="15"/>
                <w:szCs w:val="15"/>
                <w:b w:val="1"/>
                <w:bCs w:val="1"/>
                <w:color w:val="auto"/>
              </w:rPr>
              <w:t>Table of Contents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34"/>
        </w:trPr>
        <w:tc>
          <w:tcPr>
            <w:tcW w:w="1140" w:type="dxa"/>
            <w:vAlign w:val="bottom"/>
          </w:tcPr>
          <w:p>
            <w:pPr>
              <w:spacing w:after="0"/>
              <w:rPr>
                <w:sz w:val="24"/>
                <w:szCs w:val="24"/>
                <w:color w:val="auto"/>
              </w:rPr>
            </w:pPr>
          </w:p>
        </w:tc>
        <w:tc>
          <w:tcPr>
            <w:tcW w:w="1760" w:type="dxa"/>
            <w:vAlign w:val="bottom"/>
            <w:gridSpan w:val="2"/>
          </w:tcPr>
          <w:p>
            <w:pPr>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GENERAL INFORMATION</w:t>
              </w:r>
            </w:hyperlink>
          </w:p>
        </w:tc>
        <w:tc>
          <w:tcPr>
            <w:tcW w:w="7240" w:type="dxa"/>
            <w:vAlign w:val="bottom"/>
            <w:gridSpan w:val="15"/>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5"/>
                <w:szCs w:val="15"/>
                <w:color w:val="0000EE"/>
              </w:rPr>
            </w:pPr>
            <w:hyperlink w:anchor="page5">
              <w:r>
                <w:rPr>
                  <w:rFonts w:ascii="Arial" w:cs="Arial" w:eastAsia="Arial" w:hAnsi="Arial"/>
                  <w:sz w:val="15"/>
                  <w:szCs w:val="15"/>
                  <w:color w:val="0000EE"/>
                </w:rPr>
                <w:t>1</w:t>
              </w:r>
            </w:hyperlink>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9000" w:type="dxa"/>
            <w:vAlign w:val="bottom"/>
            <w:gridSpan w:val="17"/>
          </w:tcPr>
          <w:p>
            <w:pPr>
              <w:spacing w:after="0" w:line="163" w:lineRule="exact"/>
              <w:rPr>
                <w:rFonts w:ascii="Arial" w:cs="Arial" w:eastAsia="Arial" w:hAnsi="Arial"/>
                <w:sz w:val="15"/>
                <w:szCs w:val="15"/>
                <w:color w:val="0000EE"/>
              </w:rPr>
            </w:pPr>
            <w:hyperlink w:anchor="page10">
              <w:r>
                <w:rPr>
                  <w:rFonts w:ascii="Arial" w:cs="Arial" w:eastAsia="Arial" w:hAnsi="Arial"/>
                  <w:sz w:val="15"/>
                  <w:szCs w:val="15"/>
                  <w:color w:val="0000EE"/>
                </w:rPr>
                <w:t>PROPOSAL 1: ELECTION OF DIRECTORS</w:t>
              </w:r>
            </w:hyperlink>
          </w:p>
        </w:tc>
        <w:tc>
          <w:tcPr>
            <w:tcW w:w="1300" w:type="dxa"/>
            <w:vAlign w:val="bottom"/>
            <w:gridSpan w:val="3"/>
          </w:tcPr>
          <w:p>
            <w:pPr>
              <w:jc w:val="right"/>
              <w:ind w:right="1140"/>
              <w:spacing w:after="0" w:line="163" w:lineRule="exact"/>
              <w:rPr>
                <w:rFonts w:ascii="Arial" w:cs="Arial" w:eastAsia="Arial" w:hAnsi="Arial"/>
                <w:sz w:val="15"/>
                <w:szCs w:val="15"/>
                <w:color w:val="0000EE"/>
              </w:rPr>
            </w:pPr>
            <w:hyperlink w:anchor="page10">
              <w:r>
                <w:rPr>
                  <w:rFonts w:ascii="Arial" w:cs="Arial" w:eastAsia="Arial" w:hAnsi="Arial"/>
                  <w:sz w:val="15"/>
                  <w:szCs w:val="15"/>
                  <w:color w:val="0000EE"/>
                </w:rPr>
                <w:t>6</w:t>
              </w:r>
            </w:hyperlink>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9000" w:type="dxa"/>
            <w:vAlign w:val="bottom"/>
            <w:gridSpan w:val="17"/>
          </w:tcPr>
          <w:p>
            <w:pPr>
              <w:spacing w:after="0" w:line="163" w:lineRule="exact"/>
              <w:rPr>
                <w:rFonts w:ascii="Arial" w:cs="Arial" w:eastAsia="Arial" w:hAnsi="Arial"/>
                <w:sz w:val="15"/>
                <w:szCs w:val="15"/>
                <w:color w:val="0000EE"/>
              </w:rPr>
            </w:pPr>
            <w:hyperlink w:anchor="page11">
              <w:r>
                <w:rPr>
                  <w:rFonts w:ascii="Arial" w:cs="Arial" w:eastAsia="Arial" w:hAnsi="Arial"/>
                  <w:sz w:val="15"/>
                  <w:szCs w:val="15"/>
                  <w:color w:val="0000EE"/>
                </w:rPr>
                <w:t>DIRECTORS, EXECUTIVE OFFICERS AND CORPORATE GOVERNANCE</w:t>
              </w:r>
            </w:hyperlink>
          </w:p>
        </w:tc>
        <w:tc>
          <w:tcPr>
            <w:tcW w:w="1300" w:type="dxa"/>
            <w:vAlign w:val="bottom"/>
            <w:gridSpan w:val="3"/>
          </w:tcPr>
          <w:p>
            <w:pPr>
              <w:jc w:val="right"/>
              <w:ind w:right="1140"/>
              <w:spacing w:after="0" w:line="163" w:lineRule="exact"/>
              <w:rPr>
                <w:rFonts w:ascii="Arial" w:cs="Arial" w:eastAsia="Arial" w:hAnsi="Arial"/>
                <w:sz w:val="15"/>
                <w:szCs w:val="15"/>
                <w:color w:val="0000EE"/>
              </w:rPr>
            </w:pPr>
            <w:hyperlink w:anchor="page11">
              <w:r>
                <w:rPr>
                  <w:rFonts w:ascii="Arial" w:cs="Arial" w:eastAsia="Arial" w:hAnsi="Arial"/>
                  <w:sz w:val="15"/>
                  <w:szCs w:val="15"/>
                  <w:color w:val="0000EE"/>
                </w:rPr>
                <w:t>7</w:t>
              </w:r>
            </w:hyperlink>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9000" w:type="dxa"/>
            <w:vAlign w:val="bottom"/>
            <w:gridSpan w:val="17"/>
          </w:tcPr>
          <w:p>
            <w:pPr>
              <w:spacing w:after="0" w:line="163" w:lineRule="exact"/>
              <w:rPr>
                <w:rFonts w:ascii="Arial" w:cs="Arial" w:eastAsia="Arial" w:hAnsi="Arial"/>
                <w:sz w:val="15"/>
                <w:szCs w:val="15"/>
                <w:color w:val="0000EE"/>
              </w:rPr>
            </w:pPr>
            <w:hyperlink w:anchor="page21">
              <w:r>
                <w:rPr>
                  <w:rFonts w:ascii="Arial" w:cs="Arial" w:eastAsia="Arial" w:hAnsi="Arial"/>
                  <w:sz w:val="15"/>
                  <w:szCs w:val="15"/>
                  <w:color w:val="0000EE"/>
                </w:rPr>
                <w:t>PROPOSAL 2: ADVISORY VOTE TO APPROVE COMPENSATION OF NAMED EXECUTIVE OFFICERS</w:t>
              </w:r>
            </w:hyperlink>
          </w:p>
        </w:tc>
        <w:tc>
          <w:tcPr>
            <w:tcW w:w="1300" w:type="dxa"/>
            <w:vAlign w:val="bottom"/>
            <w:gridSpan w:val="3"/>
          </w:tcPr>
          <w:p>
            <w:pPr>
              <w:jc w:val="right"/>
              <w:ind w:right="1140"/>
              <w:spacing w:after="0" w:line="163" w:lineRule="exact"/>
              <w:rPr>
                <w:rFonts w:ascii="Arial" w:cs="Arial" w:eastAsia="Arial" w:hAnsi="Arial"/>
                <w:sz w:val="15"/>
                <w:szCs w:val="15"/>
                <w:color w:val="0000EE"/>
                <w:w w:val="83"/>
              </w:rPr>
            </w:pPr>
            <w:hyperlink w:anchor="page21">
              <w:r>
                <w:rPr>
                  <w:rFonts w:ascii="Arial" w:cs="Arial" w:eastAsia="Arial" w:hAnsi="Arial"/>
                  <w:sz w:val="15"/>
                  <w:szCs w:val="15"/>
                  <w:color w:val="0000EE"/>
                  <w:w w:val="83"/>
                </w:rPr>
                <w:t>17</w:t>
              </w:r>
            </w:hyperlink>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060" w:type="dxa"/>
            <w:vAlign w:val="bottom"/>
            <w:tcBorders>
              <w:bottom w:val="single" w:sz="8" w:color="0000EE"/>
            </w:tcBorders>
            <w:gridSpan w:val="16"/>
          </w:tcPr>
          <w:p>
            <w:pPr>
              <w:spacing w:after="0" w:line="163" w:lineRule="exact"/>
              <w:rPr>
                <w:rFonts w:ascii="Arial" w:cs="Arial" w:eastAsia="Arial" w:hAnsi="Arial"/>
                <w:sz w:val="15"/>
                <w:szCs w:val="15"/>
                <w:color w:val="0000EE"/>
                <w:w w:val="94"/>
              </w:rPr>
            </w:pPr>
            <w:hyperlink w:anchor="page22">
              <w:r>
                <w:rPr>
                  <w:rFonts w:ascii="Arial" w:cs="Arial" w:eastAsia="Arial" w:hAnsi="Arial"/>
                  <w:sz w:val="15"/>
                  <w:szCs w:val="15"/>
                  <w:color w:val="0000EE"/>
                  <w:w w:val="94"/>
                </w:rPr>
                <w:t>PROPOSAL 3: ADVISORY VOTE ON THE FREQUENCY OF FUTURE ADVISORY VOTES ON COMPENSATION OF NAMED</w:t>
              </w:r>
            </w:hyperlink>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Borders>
              <w:bottom w:val="single" w:sz="8" w:color="0000EE"/>
            </w:tcBorders>
          </w:tcPr>
          <w:p>
            <w:pPr>
              <w:spacing w:after="0" w:line="163" w:lineRule="exact"/>
              <w:rPr>
                <w:rFonts w:ascii="Arial" w:cs="Arial" w:eastAsia="Arial" w:hAnsi="Arial"/>
                <w:sz w:val="15"/>
                <w:szCs w:val="15"/>
                <w:color w:val="0000EE"/>
                <w:w w:val="95"/>
              </w:rPr>
            </w:pPr>
            <w:hyperlink w:anchor="page22">
              <w:r>
                <w:rPr>
                  <w:rFonts w:ascii="Arial" w:cs="Arial" w:eastAsia="Arial" w:hAnsi="Arial"/>
                  <w:sz w:val="15"/>
                  <w:szCs w:val="15"/>
                  <w:color w:val="0000EE"/>
                  <w:w w:val="95"/>
                </w:rPr>
                <w:t>EXECUTIVE OFFICERS</w:t>
              </w:r>
            </w:hyperlink>
          </w:p>
        </w:tc>
        <w:tc>
          <w:tcPr>
            <w:tcW w:w="7240" w:type="dxa"/>
            <w:vAlign w:val="bottom"/>
            <w:gridSpan w:val="15"/>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22">
              <w:r>
                <w:rPr>
                  <w:rFonts w:ascii="Arial" w:cs="Arial" w:eastAsia="Arial" w:hAnsi="Arial"/>
                  <w:sz w:val="15"/>
                  <w:szCs w:val="15"/>
                  <w:color w:val="0000EE"/>
                  <w:w w:val="83"/>
                </w:rPr>
                <w:t>18</w:t>
              </w:r>
            </w:hyperlink>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2020" w:type="dxa"/>
            <w:vAlign w:val="bottom"/>
            <w:tcBorders>
              <w:bottom w:val="single" w:sz="8" w:color="0000EE"/>
            </w:tcBorders>
            <w:gridSpan w:val="4"/>
          </w:tcPr>
          <w:p>
            <w:pPr>
              <w:spacing w:after="0" w:line="163" w:lineRule="exact"/>
              <w:rPr>
                <w:rFonts w:ascii="Arial" w:cs="Arial" w:eastAsia="Arial" w:hAnsi="Arial"/>
                <w:sz w:val="15"/>
                <w:szCs w:val="15"/>
                <w:color w:val="0000EE"/>
                <w:w w:val="94"/>
              </w:rPr>
            </w:pPr>
            <w:hyperlink w:anchor="page23">
              <w:r>
                <w:rPr>
                  <w:rFonts w:ascii="Arial" w:cs="Arial" w:eastAsia="Arial" w:hAnsi="Arial"/>
                  <w:sz w:val="15"/>
                  <w:szCs w:val="15"/>
                  <w:color w:val="0000EE"/>
                  <w:w w:val="94"/>
                </w:rPr>
                <w:t>EXECUTIVE COMPENSATION</w:t>
              </w:r>
            </w:hyperlink>
          </w:p>
        </w:tc>
        <w:tc>
          <w:tcPr>
            <w:tcW w:w="6980" w:type="dxa"/>
            <w:vAlign w:val="bottom"/>
            <w:gridSpan w:val="13"/>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23">
              <w:r>
                <w:rPr>
                  <w:rFonts w:ascii="Arial" w:cs="Arial" w:eastAsia="Arial" w:hAnsi="Arial"/>
                  <w:sz w:val="15"/>
                  <w:szCs w:val="15"/>
                  <w:color w:val="0000EE"/>
                  <w:w w:val="83"/>
                </w:rPr>
                <w:t>19</w:t>
              </w:r>
            </w:hyperlink>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Borders>
              <w:bottom w:val="single" w:sz="8" w:color="0000EE"/>
            </w:tcBorders>
            <w:gridSpan w:val="6"/>
          </w:tcPr>
          <w:p>
            <w:pPr>
              <w:spacing w:after="0" w:line="163" w:lineRule="exact"/>
              <w:rPr>
                <w:rFonts w:ascii="Arial" w:cs="Arial" w:eastAsia="Arial" w:hAnsi="Arial"/>
                <w:sz w:val="15"/>
                <w:szCs w:val="15"/>
                <w:color w:val="0000EE"/>
                <w:w w:val="94"/>
              </w:rPr>
            </w:pPr>
            <w:hyperlink w:anchor="page23">
              <w:r>
                <w:rPr>
                  <w:rFonts w:ascii="Arial" w:cs="Arial" w:eastAsia="Arial" w:hAnsi="Arial"/>
                  <w:sz w:val="15"/>
                  <w:szCs w:val="15"/>
                  <w:color w:val="0000EE"/>
                  <w:w w:val="94"/>
                </w:rPr>
                <w:t>COMPENSATION COMMITTEE REPORT</w:t>
              </w:r>
            </w:hyperlink>
          </w:p>
        </w:tc>
        <w:tc>
          <w:tcPr>
            <w:tcW w:w="6180" w:type="dxa"/>
            <w:vAlign w:val="bottom"/>
            <w:gridSpan w:val="10"/>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23">
              <w:r>
                <w:rPr>
                  <w:rFonts w:ascii="Arial" w:cs="Arial" w:eastAsia="Arial" w:hAnsi="Arial"/>
                  <w:sz w:val="15"/>
                  <w:szCs w:val="15"/>
                  <w:color w:val="0000EE"/>
                  <w:w w:val="83"/>
                </w:rPr>
                <w:t>19</w:t>
              </w:r>
            </w:hyperlink>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16"/>
          </w:tcPr>
          <w:p>
            <w:pPr>
              <w:spacing w:after="0" w:line="163" w:lineRule="exact"/>
              <w:rPr>
                <w:rFonts w:ascii="Arial" w:cs="Arial" w:eastAsia="Arial" w:hAnsi="Arial"/>
                <w:sz w:val="15"/>
                <w:szCs w:val="15"/>
                <w:color w:val="0000EE"/>
              </w:rPr>
            </w:pPr>
            <w:hyperlink w:anchor="page23">
              <w:r>
                <w:rPr>
                  <w:rFonts w:ascii="Arial" w:cs="Arial" w:eastAsia="Arial" w:hAnsi="Arial"/>
                  <w:sz w:val="15"/>
                  <w:szCs w:val="15"/>
                  <w:color w:val="0000EE"/>
                </w:rPr>
                <w:t>COMPENSATION DISCLOSURE AND ANALYSIS</w:t>
              </w:r>
            </w:hyperlink>
          </w:p>
        </w:tc>
        <w:tc>
          <w:tcPr>
            <w:tcW w:w="1300" w:type="dxa"/>
            <w:vAlign w:val="bottom"/>
            <w:gridSpan w:val="3"/>
          </w:tcPr>
          <w:p>
            <w:pPr>
              <w:jc w:val="right"/>
              <w:ind w:right="1140"/>
              <w:spacing w:after="0" w:line="163" w:lineRule="exact"/>
              <w:rPr>
                <w:rFonts w:ascii="Arial" w:cs="Arial" w:eastAsia="Arial" w:hAnsi="Arial"/>
                <w:sz w:val="15"/>
                <w:szCs w:val="15"/>
                <w:color w:val="0000EE"/>
                <w:w w:val="83"/>
              </w:rPr>
            </w:pPr>
            <w:hyperlink w:anchor="page23">
              <w:r>
                <w:rPr>
                  <w:rFonts w:ascii="Arial" w:cs="Arial" w:eastAsia="Arial" w:hAnsi="Arial"/>
                  <w:sz w:val="15"/>
                  <w:szCs w:val="15"/>
                  <w:color w:val="0000EE"/>
                  <w:w w:val="83"/>
                </w:rPr>
                <w:t>19</w:t>
              </w:r>
            </w:hyperlink>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tcBorders>
              <w:top w:val="single" w:sz="8" w:color="0000EE"/>
            </w:tcBorders>
            <w:gridSpan w:val="7"/>
          </w:tcPr>
          <w:p>
            <w:pPr>
              <w:spacing w:after="0" w:line="163" w:lineRule="exact"/>
              <w:rPr>
                <w:rFonts w:ascii="Arial" w:cs="Arial" w:eastAsia="Arial" w:hAnsi="Arial"/>
                <w:sz w:val="15"/>
                <w:szCs w:val="15"/>
                <w:color w:val="0000EE"/>
              </w:rPr>
            </w:pPr>
            <w:hyperlink w:anchor="page36">
              <w:r>
                <w:rPr>
                  <w:rFonts w:ascii="Arial" w:cs="Arial" w:eastAsia="Arial" w:hAnsi="Arial"/>
                  <w:sz w:val="15"/>
                  <w:szCs w:val="15"/>
                  <w:color w:val="0000EE"/>
                </w:rPr>
                <w:t>COMPENSATION OF DIRECTORS</w:t>
              </w:r>
            </w:hyperlink>
          </w:p>
        </w:tc>
        <w:tc>
          <w:tcPr>
            <w:tcW w:w="5640" w:type="dxa"/>
            <w:vAlign w:val="bottom"/>
            <w:gridSpan w:val="9"/>
          </w:tcPr>
          <w:p>
            <w:pPr>
              <w:spacing w:after="0"/>
              <w:rPr>
                <w:sz w:val="14"/>
                <w:szCs w:val="14"/>
                <w:color w:val="auto"/>
              </w:rPr>
            </w:pPr>
          </w:p>
        </w:tc>
        <w:tc>
          <w:tcPr>
            <w:tcW w:w="160" w:type="dxa"/>
            <w:vAlign w:val="bottom"/>
            <w:tcBorders>
              <w:top w:val="single" w:sz="8" w:color="0000EE"/>
            </w:tcBorders>
            <w:gridSpan w:val="2"/>
          </w:tcPr>
          <w:p>
            <w:pPr>
              <w:jc w:val="right"/>
              <w:spacing w:after="0" w:line="163" w:lineRule="exact"/>
              <w:rPr>
                <w:rFonts w:ascii="Arial" w:cs="Arial" w:eastAsia="Arial" w:hAnsi="Arial"/>
                <w:sz w:val="15"/>
                <w:szCs w:val="15"/>
                <w:color w:val="0000EE"/>
                <w:w w:val="83"/>
              </w:rPr>
            </w:pPr>
            <w:hyperlink w:anchor="page36">
              <w:r>
                <w:rPr>
                  <w:rFonts w:ascii="Arial" w:cs="Arial" w:eastAsia="Arial" w:hAnsi="Arial"/>
                  <w:sz w:val="15"/>
                  <w:szCs w:val="15"/>
                  <w:color w:val="0000EE"/>
                  <w:w w:val="83"/>
                </w:rPr>
                <w:t>32</w:t>
              </w:r>
            </w:hyperlink>
          </w:p>
        </w:tc>
        <w:tc>
          <w:tcPr>
            <w:tcW w:w="114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7500" w:type="dxa"/>
            <w:vAlign w:val="bottom"/>
            <w:tcBorders>
              <w:bottom w:val="single" w:sz="8" w:color="0000EE"/>
            </w:tcBorders>
            <w:gridSpan w:val="15"/>
          </w:tcPr>
          <w:p>
            <w:pPr>
              <w:spacing w:after="0" w:line="163" w:lineRule="exact"/>
              <w:rPr>
                <w:rFonts w:ascii="Arial" w:cs="Arial" w:eastAsia="Arial" w:hAnsi="Arial"/>
                <w:sz w:val="15"/>
                <w:szCs w:val="15"/>
                <w:color w:val="0000EE"/>
                <w:w w:val="94"/>
              </w:rPr>
            </w:pPr>
            <w:hyperlink w:anchor="page37">
              <w:r>
                <w:rPr>
                  <w:rFonts w:ascii="Arial" w:cs="Arial" w:eastAsia="Arial" w:hAnsi="Arial"/>
                  <w:sz w:val="15"/>
                  <w:szCs w:val="15"/>
                  <w:color w:val="0000EE"/>
                  <w:w w:val="94"/>
                </w:rPr>
                <w:t>PROPOSAL 4: RATIFICATION OF APPOINTMENT OF INDEPENDENT REGISTERED PUBLIC ACCOUNTING FIRM</w:t>
              </w:r>
            </w:hyperlink>
          </w:p>
        </w:tc>
        <w:tc>
          <w:tcPr>
            <w:tcW w:w="1500" w:type="dxa"/>
            <w:vAlign w:val="bottom"/>
            <w:gridSpan w:val="2"/>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37">
              <w:r>
                <w:rPr>
                  <w:rFonts w:ascii="Arial" w:cs="Arial" w:eastAsia="Arial" w:hAnsi="Arial"/>
                  <w:sz w:val="15"/>
                  <w:szCs w:val="15"/>
                  <w:color w:val="0000EE"/>
                  <w:w w:val="83"/>
                </w:rPr>
                <w:t>33</w:t>
              </w:r>
            </w:hyperlink>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5940" w:type="dxa"/>
            <w:vAlign w:val="bottom"/>
            <w:tcBorders>
              <w:bottom w:val="single" w:sz="8" w:color="0000EE"/>
            </w:tcBorders>
            <w:gridSpan w:val="13"/>
          </w:tcPr>
          <w:p>
            <w:pPr>
              <w:spacing w:after="0" w:line="163" w:lineRule="exact"/>
              <w:rPr>
                <w:rFonts w:ascii="Arial" w:cs="Arial" w:eastAsia="Arial" w:hAnsi="Arial"/>
                <w:sz w:val="15"/>
                <w:szCs w:val="15"/>
                <w:color w:val="0000EE"/>
                <w:w w:val="95"/>
              </w:rPr>
            </w:pPr>
            <w:hyperlink w:anchor="page38">
              <w:r>
                <w:rPr>
                  <w:rFonts w:ascii="Arial" w:cs="Arial" w:eastAsia="Arial" w:hAnsi="Arial"/>
                  <w:sz w:val="15"/>
                  <w:szCs w:val="15"/>
                  <w:color w:val="0000EE"/>
                  <w:w w:val="95"/>
                </w:rPr>
                <w:t>INFORMATION REGARDING INDEPENDENT REGISTERED PUBLIC ACCOUNTING FIRM</w:t>
              </w:r>
            </w:hyperlink>
          </w:p>
        </w:tc>
        <w:tc>
          <w:tcPr>
            <w:tcW w:w="3060" w:type="dxa"/>
            <w:vAlign w:val="bottom"/>
            <w:gridSpan w:val="4"/>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38">
              <w:r>
                <w:rPr>
                  <w:rFonts w:ascii="Arial" w:cs="Arial" w:eastAsia="Arial" w:hAnsi="Arial"/>
                  <w:sz w:val="15"/>
                  <w:szCs w:val="15"/>
                  <w:color w:val="0000EE"/>
                  <w:w w:val="83"/>
                </w:rPr>
                <w:t>34</w:t>
              </w:r>
            </w:hyperlink>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980" w:type="dxa"/>
            <w:vAlign w:val="bottom"/>
            <w:tcBorders>
              <w:bottom w:val="single" w:sz="8" w:color="0000EE"/>
            </w:tcBorders>
            <w:gridSpan w:val="3"/>
          </w:tcPr>
          <w:p>
            <w:pPr>
              <w:spacing w:after="0" w:line="163" w:lineRule="exact"/>
              <w:rPr>
                <w:rFonts w:ascii="Arial" w:cs="Arial" w:eastAsia="Arial" w:hAnsi="Arial"/>
                <w:sz w:val="15"/>
                <w:szCs w:val="15"/>
                <w:color w:val="0000EE"/>
                <w:w w:val="95"/>
              </w:rPr>
            </w:pPr>
            <w:hyperlink w:anchor="page40">
              <w:r>
                <w:rPr>
                  <w:rFonts w:ascii="Arial" w:cs="Arial" w:eastAsia="Arial" w:hAnsi="Arial"/>
                  <w:sz w:val="15"/>
                  <w:szCs w:val="15"/>
                  <w:color w:val="0000EE"/>
                  <w:w w:val="95"/>
                </w:rPr>
                <w:t>AUDIT COMMITTEE REPORT</w:t>
              </w:r>
            </w:hyperlink>
          </w:p>
        </w:tc>
        <w:tc>
          <w:tcPr>
            <w:tcW w:w="7020" w:type="dxa"/>
            <w:vAlign w:val="bottom"/>
            <w:gridSpan w:val="14"/>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40">
              <w:r>
                <w:rPr>
                  <w:rFonts w:ascii="Arial" w:cs="Arial" w:eastAsia="Arial" w:hAnsi="Arial"/>
                  <w:sz w:val="15"/>
                  <w:szCs w:val="15"/>
                  <w:color w:val="0000EE"/>
                  <w:w w:val="83"/>
                </w:rPr>
                <w:t>36</w:t>
              </w:r>
            </w:hyperlink>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5320" w:type="dxa"/>
            <w:vAlign w:val="bottom"/>
            <w:tcBorders>
              <w:bottom w:val="single" w:sz="8" w:color="0000EE"/>
            </w:tcBorders>
            <w:gridSpan w:val="12"/>
          </w:tcPr>
          <w:p>
            <w:pPr>
              <w:spacing w:after="0" w:line="163" w:lineRule="exact"/>
              <w:rPr>
                <w:rFonts w:ascii="Arial" w:cs="Arial" w:eastAsia="Arial" w:hAnsi="Arial"/>
                <w:sz w:val="15"/>
                <w:szCs w:val="15"/>
                <w:color w:val="0000EE"/>
                <w:w w:val="95"/>
              </w:rPr>
            </w:pPr>
            <w:hyperlink w:anchor="page41">
              <w:r>
                <w:rPr>
                  <w:rFonts w:ascii="Arial" w:cs="Arial" w:eastAsia="Arial" w:hAnsi="Arial"/>
                  <w:sz w:val="15"/>
                  <w:szCs w:val="15"/>
                  <w:color w:val="0000EE"/>
                  <w:w w:val="95"/>
                </w:rPr>
                <w:t>STOCK OWNERSHIP OF CERTAIN BENEFICIAL OWNERS AND MANAGEMENT</w:t>
              </w:r>
            </w:hyperlink>
          </w:p>
        </w:tc>
        <w:tc>
          <w:tcPr>
            <w:tcW w:w="3680" w:type="dxa"/>
            <w:vAlign w:val="bottom"/>
            <w:gridSpan w:val="5"/>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41">
              <w:r>
                <w:rPr>
                  <w:rFonts w:ascii="Arial" w:cs="Arial" w:eastAsia="Arial" w:hAnsi="Arial"/>
                  <w:sz w:val="15"/>
                  <w:szCs w:val="15"/>
                  <w:color w:val="0000EE"/>
                  <w:w w:val="83"/>
                </w:rPr>
                <w:t>37</w:t>
              </w:r>
            </w:hyperlink>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4520" w:type="dxa"/>
            <w:vAlign w:val="bottom"/>
            <w:tcBorders>
              <w:bottom w:val="single" w:sz="8" w:color="0000EE"/>
            </w:tcBorders>
            <w:gridSpan w:val="9"/>
          </w:tcPr>
          <w:p>
            <w:pPr>
              <w:spacing w:after="0" w:line="163" w:lineRule="exact"/>
              <w:rPr>
                <w:rFonts w:ascii="Arial" w:cs="Arial" w:eastAsia="Arial" w:hAnsi="Arial"/>
                <w:sz w:val="15"/>
                <w:szCs w:val="15"/>
                <w:color w:val="0000EE"/>
                <w:w w:val="94"/>
              </w:rPr>
            </w:pPr>
            <w:hyperlink w:anchor="page45">
              <w:r>
                <w:rPr>
                  <w:rFonts w:ascii="Arial" w:cs="Arial" w:eastAsia="Arial" w:hAnsi="Arial"/>
                  <w:sz w:val="15"/>
                  <w:szCs w:val="15"/>
                  <w:color w:val="0000EE"/>
                  <w:w w:val="94"/>
                </w:rPr>
                <w:t>CERTAIN RELATIONSHIPS AND RELATED PARTY TRANSACTIONS</w:t>
              </w:r>
            </w:hyperlink>
          </w:p>
        </w:tc>
        <w:tc>
          <w:tcPr>
            <w:tcW w:w="4480" w:type="dxa"/>
            <w:vAlign w:val="bottom"/>
            <w:gridSpan w:val="8"/>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45">
              <w:r>
                <w:rPr>
                  <w:rFonts w:ascii="Arial" w:cs="Arial" w:eastAsia="Arial" w:hAnsi="Arial"/>
                  <w:sz w:val="15"/>
                  <w:szCs w:val="15"/>
                  <w:color w:val="0000EE"/>
                  <w:w w:val="83"/>
                </w:rPr>
                <w:t>41</w:t>
              </w:r>
            </w:hyperlink>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4660" w:type="dxa"/>
            <w:vAlign w:val="bottom"/>
            <w:tcBorders>
              <w:bottom w:val="single" w:sz="8" w:color="0000EE"/>
            </w:tcBorders>
            <w:gridSpan w:val="10"/>
          </w:tcPr>
          <w:p>
            <w:pPr>
              <w:spacing w:after="0" w:line="163" w:lineRule="exact"/>
              <w:rPr>
                <w:rFonts w:ascii="Arial" w:cs="Arial" w:eastAsia="Arial" w:hAnsi="Arial"/>
                <w:sz w:val="15"/>
                <w:szCs w:val="15"/>
                <w:color w:val="0000EE"/>
                <w:w w:val="94"/>
              </w:rPr>
            </w:pPr>
            <w:hyperlink w:anchor="page53">
              <w:r>
                <w:rPr>
                  <w:rFonts w:ascii="Arial" w:cs="Arial" w:eastAsia="Arial" w:hAnsi="Arial"/>
                  <w:sz w:val="15"/>
                  <w:szCs w:val="15"/>
                  <w:color w:val="0000EE"/>
                  <w:w w:val="94"/>
                </w:rPr>
                <w:t>SECTION 16(a) BENEFICIAL OWNERSHIP REPORTING COMPLIANCE</w:t>
              </w:r>
            </w:hyperlink>
          </w:p>
        </w:tc>
        <w:tc>
          <w:tcPr>
            <w:tcW w:w="4340" w:type="dxa"/>
            <w:vAlign w:val="bottom"/>
            <w:gridSpan w:val="7"/>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53">
              <w:r>
                <w:rPr>
                  <w:rFonts w:ascii="Arial" w:cs="Arial" w:eastAsia="Arial" w:hAnsi="Arial"/>
                  <w:sz w:val="15"/>
                  <w:szCs w:val="15"/>
                  <w:color w:val="0000EE"/>
                  <w:w w:val="83"/>
                </w:rPr>
                <w:t>49</w:t>
              </w:r>
            </w:hyperlink>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9000" w:type="dxa"/>
            <w:vAlign w:val="bottom"/>
            <w:gridSpan w:val="17"/>
          </w:tcPr>
          <w:p>
            <w:pPr>
              <w:spacing w:after="0" w:line="163" w:lineRule="exact"/>
              <w:rPr>
                <w:rFonts w:ascii="Arial" w:cs="Arial" w:eastAsia="Arial" w:hAnsi="Arial"/>
                <w:sz w:val="15"/>
                <w:szCs w:val="15"/>
                <w:color w:val="0000EE"/>
              </w:rPr>
            </w:pPr>
            <w:hyperlink w:anchor="page54">
              <w:r>
                <w:rPr>
                  <w:rFonts w:ascii="Arial" w:cs="Arial" w:eastAsia="Arial" w:hAnsi="Arial"/>
                  <w:sz w:val="15"/>
                  <w:szCs w:val="15"/>
                  <w:color w:val="0000EE"/>
                </w:rPr>
                <w:t>ADDITIONAL INFORMATION</w:t>
              </w:r>
            </w:hyperlink>
          </w:p>
        </w:tc>
        <w:tc>
          <w:tcPr>
            <w:tcW w:w="1300" w:type="dxa"/>
            <w:vAlign w:val="bottom"/>
            <w:gridSpan w:val="3"/>
          </w:tcPr>
          <w:p>
            <w:pPr>
              <w:jc w:val="right"/>
              <w:ind w:right="1140"/>
              <w:spacing w:after="0" w:line="163" w:lineRule="exact"/>
              <w:rPr>
                <w:rFonts w:ascii="Arial" w:cs="Arial" w:eastAsia="Arial" w:hAnsi="Arial"/>
                <w:sz w:val="15"/>
                <w:szCs w:val="15"/>
                <w:color w:val="0000EE"/>
                <w:w w:val="83"/>
              </w:rPr>
            </w:pPr>
            <w:hyperlink w:anchor="page54">
              <w:r>
                <w:rPr>
                  <w:rFonts w:ascii="Arial" w:cs="Arial" w:eastAsia="Arial" w:hAnsi="Arial"/>
                  <w:sz w:val="15"/>
                  <w:szCs w:val="15"/>
                  <w:color w:val="0000EE"/>
                  <w:w w:val="83"/>
                </w:rPr>
                <w:t>50</w:t>
              </w:r>
            </w:hyperlink>
          </w:p>
        </w:tc>
      </w:tr>
      <w:tr>
        <w:trPr>
          <w:trHeight w:val="113"/>
        </w:trPr>
        <w:tc>
          <w:tcPr>
            <w:tcW w:w="1140" w:type="dxa"/>
            <w:vAlign w:val="bottom"/>
            <w:tcBorders>
              <w:bottom w:val="single" w:sz="8" w:color="808080"/>
            </w:tcBorders>
          </w:tcPr>
          <w:p>
            <w:pPr>
              <w:spacing w:after="0"/>
              <w:rPr>
                <w:sz w:val="9"/>
                <w:szCs w:val="9"/>
                <w:color w:val="auto"/>
              </w:rPr>
            </w:pPr>
          </w:p>
        </w:tc>
        <w:tc>
          <w:tcPr>
            <w:tcW w:w="140" w:type="dxa"/>
            <w:vAlign w:val="bottom"/>
            <w:tcBorders>
              <w:top w:val="single" w:sz="8" w:color="0000EE"/>
              <w:bottom w:val="single" w:sz="8" w:color="808080"/>
            </w:tcBorders>
          </w:tcPr>
          <w:p>
            <w:pPr>
              <w:spacing w:after="0"/>
              <w:rPr>
                <w:sz w:val="9"/>
                <w:szCs w:val="9"/>
                <w:color w:val="auto"/>
              </w:rPr>
            </w:pPr>
          </w:p>
        </w:tc>
        <w:tc>
          <w:tcPr>
            <w:tcW w:w="1620" w:type="dxa"/>
            <w:vAlign w:val="bottom"/>
            <w:tcBorders>
              <w:top w:val="single" w:sz="8" w:color="0000EE"/>
              <w:bottom w:val="single" w:sz="8" w:color="808080"/>
            </w:tcBorders>
          </w:tcPr>
          <w:p>
            <w:pPr>
              <w:spacing w:after="0"/>
              <w:rPr>
                <w:sz w:val="9"/>
                <w:szCs w:val="9"/>
                <w:color w:val="auto"/>
              </w:rPr>
            </w:pPr>
          </w:p>
        </w:tc>
        <w:tc>
          <w:tcPr>
            <w:tcW w:w="220" w:type="dxa"/>
            <w:vAlign w:val="bottom"/>
            <w:tcBorders>
              <w:top w:val="single" w:sz="8" w:color="0000EE"/>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VIRTU FINANCIAL, INC.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2019 ANNUAL MEETING OF STOCKHOLDERS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BE HELD ON JUNE 4, 2019</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GENERAL INFORMATION</w:t>
      </w:r>
    </w:p>
    <w:p>
      <w:pPr>
        <w:spacing w:after="0" w:line="198" w:lineRule="exact"/>
        <w:rPr>
          <w:sz w:val="20"/>
          <w:szCs w:val="20"/>
          <w:color w:val="auto"/>
        </w:rPr>
      </w:pPr>
    </w:p>
    <w:p>
      <w:pPr>
        <w:ind w:right="60" w:firstLine="295"/>
        <w:spacing w:after="0" w:line="262" w:lineRule="auto"/>
        <w:rPr>
          <w:sz w:val="20"/>
          <w:szCs w:val="20"/>
          <w:color w:val="auto"/>
        </w:rPr>
      </w:pPr>
      <w:r>
        <w:rPr>
          <w:rFonts w:ascii="Arial" w:cs="Arial" w:eastAsia="Arial" w:hAnsi="Arial"/>
          <w:sz w:val="15"/>
          <w:szCs w:val="15"/>
          <w:color w:val="auto"/>
        </w:rPr>
        <w:t>We are making this proxy statement available to our stockholders on or about April 25, 2019 in connection with the solicitation of proxies by our board of directors for the Annual Meeting, which will be held on Tuesday, June 4, 2019 at 9:00 a.m. (Eastern Time) at Virtu Financial, Inc., One Liberty Plaza, 165 Broadway, New York, New York 10006. As a stockholder of Virtu, you are invited to attend the Annual Meeting and are entitled and encouraged to vote on the proposals described in this proxy statement. Below are answers to common questions stockholders may have about the Annual Meeting. Our fiscal year ends on December 31.</w:t>
      </w:r>
    </w:p>
    <w:p>
      <w:pPr>
        <w:spacing w:after="0" w:line="162" w:lineRule="exact"/>
        <w:rPr>
          <w:sz w:val="20"/>
          <w:szCs w:val="20"/>
          <w:color w:val="auto"/>
        </w:rPr>
      </w:pPr>
    </w:p>
    <w:p>
      <w:pPr>
        <w:ind w:right="440" w:firstLine="295"/>
        <w:spacing w:after="0" w:line="314" w:lineRule="auto"/>
        <w:rPr>
          <w:sz w:val="20"/>
          <w:szCs w:val="20"/>
          <w:color w:val="auto"/>
        </w:rPr>
      </w:pPr>
      <w:r>
        <w:rPr>
          <w:rFonts w:ascii="Arial" w:cs="Arial" w:eastAsia="Arial" w:hAnsi="Arial"/>
          <w:sz w:val="14"/>
          <w:szCs w:val="14"/>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128" w:lineRule="exact"/>
        <w:rPr>
          <w:sz w:val="20"/>
          <w:szCs w:val="20"/>
          <w:color w:val="auto"/>
        </w:rPr>
      </w:pPr>
    </w:p>
    <w:p>
      <w:pPr>
        <w:ind w:firstLine="295"/>
        <w:spacing w:after="0" w:line="262" w:lineRule="auto"/>
        <w:rPr>
          <w:sz w:val="20"/>
          <w:szCs w:val="20"/>
          <w:color w:val="auto"/>
        </w:rPr>
      </w:pPr>
      <w:r>
        <w:rPr>
          <w:rFonts w:ascii="Arial" w:cs="Arial" w:eastAsia="Arial" w:hAnsi="Arial"/>
          <w:sz w:val="15"/>
          <w:szCs w:val="15"/>
          <w:color w:val="auto"/>
        </w:rPr>
        <w:t>TJMT Holdings LLC (the "Founder Member"), an affiliate of Mr. Vincent Viola, our founder and Chairman Emeritus, and other members of the Viola family, holds all of our issued and outstanding Class D common stock and controls approximately 85% of the combined voting power of our outstanding common stock. As a result, it is able to control any action requiring the general approval of our stockholders, including the election of our board of directors, the adoption of amendments to our certificate of incorporation and bylaws and the approval of any merger or sale of substantially all of our assets.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information is included in this proxy statement?</w:t>
      </w:r>
    </w:p>
    <w:p>
      <w:pPr>
        <w:spacing w:after="0" w:line="194" w:lineRule="exact"/>
        <w:rPr>
          <w:sz w:val="20"/>
          <w:szCs w:val="20"/>
          <w:color w:val="auto"/>
        </w:rPr>
      </w:pPr>
    </w:p>
    <w:p>
      <w:pPr>
        <w:ind w:right="100" w:firstLine="295"/>
        <w:spacing w:after="0" w:line="277" w:lineRule="auto"/>
        <w:rPr>
          <w:sz w:val="20"/>
          <w:szCs w:val="20"/>
          <w:color w:val="auto"/>
        </w:rPr>
      </w:pPr>
      <w:r>
        <w:rPr>
          <w:rFonts w:ascii="Arial" w:cs="Arial" w:eastAsia="Arial" w:hAnsi="Arial"/>
          <w:sz w:val="15"/>
          <w:szCs w:val="15"/>
          <w:color w:val="auto"/>
        </w:rPr>
        <w:t>The information in this proxy statement relates to the proposals to be voted on at the Annual Meeting, the voting process, our board of directors and board committees, the compensation of current directors and certain executive officers for the year ended December 31, 2018, and other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are the Proxy Materials?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"Proxy Materials" are this proxy statement and our annual report to stockholders, which includes the Form 10-K for the fiscal year ended December 31, 2018.</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Why did I receive a one-page notice in the mail regarding the Internet availability of the Proxy Materials instead of a full set of the Proxy Materials?</w:t>
      </w:r>
    </w:p>
    <w:p>
      <w:pPr>
        <w:spacing w:after="0" w:line="194" w:lineRule="exact"/>
        <w:rPr>
          <w:sz w:val="20"/>
          <w:szCs w:val="20"/>
          <w:color w:val="auto"/>
        </w:rPr>
      </w:pPr>
    </w:p>
    <w:p>
      <w:pPr>
        <w:ind w:right="80" w:firstLine="298"/>
        <w:spacing w:after="0" w:line="260" w:lineRule="auto"/>
        <w:rPr>
          <w:sz w:val="20"/>
          <w:szCs w:val="20"/>
          <w:color w:val="auto"/>
        </w:rPr>
      </w:pPr>
      <w:r>
        <w:rPr>
          <w:rFonts w:ascii="Arial" w:cs="Arial" w:eastAsia="Arial" w:hAnsi="Arial"/>
          <w:sz w:val="15"/>
          <w:szCs w:val="15"/>
          <w:color w:val="auto"/>
        </w:rPr>
        <w:t>Pursuant to rules adopted by the SEC, we have elected to provide access to our Proxy Materials over the Internet. Accordingly, we are sending a Notice of Internet Availability of Proxy Materials to our stockholders. All stockholders will have the ability to access the Proxy Materials on the website referred to in the Notice of Internet Availability of Proxy Materials or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the Proxy Materials in printed form by mail or electronically by email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106045</wp:posOffset>
            </wp:positionV>
            <wp:extent cx="727265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items will be voted on at the Annual Meeting and how does the board of directors recommend that I vote?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There are four proposals to be voted on at the Annual Meeting:</w:t>
      </w:r>
    </w:p>
    <w:p>
      <w:pPr>
        <w:spacing w:after="0" w:line="205" w:lineRule="exact"/>
        <w:rPr>
          <w:sz w:val="20"/>
          <w:szCs w:val="20"/>
          <w:color w:val="auto"/>
        </w:rPr>
      </w:pPr>
    </w:p>
    <w:p>
      <w:pPr>
        <w:ind w:left="900" w:hanging="451"/>
        <w:spacing w:after="0" w:line="27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elect four directors to our board of directors, each to serve as a Class I director for a term of three years expiring at the annual meeting of stockholders to be held in 2022 and until such director's successor has been duly elected and qualified;</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approve, on an advisory basis, the compensation of our named executive officers as disclosed in the accompanying proxy statement;</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approve, on an advisory basis, the frequency (every one, two or three years) of future advisory votes to approve the compensation of our named executive officers; and</w:t>
      </w:r>
    </w:p>
    <w:p>
      <w:pPr>
        <w:spacing w:after="0" w:line="228" w:lineRule="exact"/>
        <w:rPr>
          <w:rFonts w:ascii="Arial" w:cs="Arial" w:eastAsia="Arial" w:hAnsi="Arial"/>
          <w:sz w:val="13"/>
          <w:szCs w:val="13"/>
          <w:color w:val="auto"/>
        </w:rPr>
      </w:pPr>
    </w:p>
    <w:p>
      <w:pPr>
        <w:ind w:left="900" w:hanging="451"/>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ratify the appointment of PricewaterhouseCoopers LLP as our independent registered public accounting firm for the fiscal year ending December 31, 2019.</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board of directors recommends that you vote FOR each of the four proposals.</w:t>
      </w:r>
    </w:p>
    <w:p>
      <w:pPr>
        <w:spacing w:after="0" w:line="194" w:lineRule="exact"/>
        <w:rPr>
          <w:sz w:val="20"/>
          <w:szCs w:val="20"/>
          <w:color w:val="auto"/>
        </w:rPr>
      </w:pPr>
    </w:p>
    <w:p>
      <w:pPr>
        <w:ind w:firstLine="298"/>
        <w:spacing w:after="0" w:line="293" w:lineRule="auto"/>
        <w:rPr>
          <w:sz w:val="20"/>
          <w:szCs w:val="20"/>
          <w:color w:val="auto"/>
        </w:rPr>
      </w:pPr>
      <w:r>
        <w:rPr>
          <w:rFonts w:ascii="Arial" w:cs="Arial" w:eastAsia="Arial" w:hAnsi="Arial"/>
          <w:sz w:val="14"/>
          <w:szCs w:val="14"/>
          <w:color w:val="auto"/>
        </w:rPr>
        <w:t>Our amended and restated bylaws (our "bylaws") provide advance notice procedures for stockholders seeking to bring business before our annual meeting of stockholders, or to nominate candidates for election as directors at any meeting of stockholders. We have not received any such proposals. We do not anticipate any other matters will come before the Annual Meeting. If any other matter comes before the Annual Meeting, the proxy holders appointed by our board of directors will have discretion to vote on those matters.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Who may vote at the meeting?</w:t>
      </w:r>
    </w:p>
    <w:p>
      <w:pPr>
        <w:spacing w:after="0" w:line="194"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Holders of Class A common stock, Class C common stock and Class D common stock, together as a single class, as of the close of business on April 12, 2019, the Record Date, may vote at the Annual Meeting.</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do I have?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the Record Date, there were:</w:t>
      </w:r>
    </w:p>
    <w:p>
      <w:pPr>
        <w:spacing w:after="0" w:line="217" w:lineRule="exact"/>
        <w:rPr>
          <w:sz w:val="20"/>
          <w:szCs w:val="20"/>
          <w:color w:val="auto"/>
        </w:rPr>
      </w:pPr>
    </w:p>
    <w:p>
      <w:pPr>
        <w:ind w:left="900" w:hanging="451"/>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107,744,527 shares of Class A common stock outstanding;</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13,509,886 shares of Class C common stock outstanding; and</w:t>
      </w:r>
    </w:p>
    <w:p>
      <w:pPr>
        <w:spacing w:after="0" w:line="205" w:lineRule="exact"/>
        <w:rPr>
          <w:rFonts w:ascii="Arial" w:cs="Arial" w:eastAsia="Arial" w:hAnsi="Arial"/>
          <w:sz w:val="15"/>
          <w:szCs w:val="15"/>
          <w:color w:val="auto"/>
        </w:rPr>
      </w:pPr>
    </w:p>
    <w:p>
      <w:pPr>
        <w:ind w:left="280" w:right="7040" w:firstLine="169"/>
        <w:spacing w:after="0" w:line="587" w:lineRule="auto"/>
        <w:tabs>
          <w:tab w:leader="none" w:pos="901" w:val="left"/>
        </w:tabs>
        <w:numPr>
          <w:ilvl w:val="0"/>
          <w:numId w:val="8"/>
        </w:numPr>
        <w:rPr>
          <w:rFonts w:ascii="Arial" w:cs="Arial" w:eastAsia="Arial" w:hAnsi="Arial"/>
          <w:sz w:val="13"/>
          <w:szCs w:val="13"/>
          <w:color w:val="auto"/>
        </w:rPr>
      </w:pPr>
      <w:r>
        <w:rPr>
          <w:rFonts w:ascii="Arial" w:cs="Arial" w:eastAsia="Arial" w:hAnsi="Arial"/>
          <w:sz w:val="13"/>
          <w:szCs w:val="13"/>
          <w:color w:val="auto"/>
        </w:rPr>
        <w:t>69,091,740 shares of Class D common stock outstanding. There are no shares of Class B common stock outstanding.</w:t>
      </w:r>
    </w:p>
    <w:p>
      <w:pPr>
        <w:spacing w:after="0" w:line="1" w:lineRule="exact"/>
        <w:rPr>
          <w:sz w:val="20"/>
          <w:szCs w:val="20"/>
          <w:color w:val="auto"/>
        </w:rPr>
      </w:pPr>
    </w:p>
    <w:p>
      <w:pPr>
        <w:ind w:right="120" w:firstLine="298"/>
        <w:spacing w:after="0" w:line="356" w:lineRule="auto"/>
        <w:rPr>
          <w:sz w:val="20"/>
          <w:szCs w:val="20"/>
          <w:color w:val="auto"/>
        </w:rPr>
      </w:pPr>
      <w:r>
        <w:rPr>
          <w:rFonts w:ascii="Arial" w:cs="Arial" w:eastAsia="Arial" w:hAnsi="Arial"/>
          <w:sz w:val="13"/>
          <w:szCs w:val="13"/>
          <w:color w:val="auto"/>
        </w:rPr>
        <w:t>Holders of Class A common stock are entitled to one vote per share of Class A common stock held as of the Record Date. Holders of Class C common stock are entitled to one vote per share of Class C common stock held as of the Record Date. Holders of Class D common stock are entitled to ten votes per share of Class D common stock held as of the Record Date.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vote is required for each proposal?</w:t>
      </w:r>
    </w:p>
    <w:p>
      <w:pPr>
        <w:spacing w:after="0" w:line="194" w:lineRule="exact"/>
        <w:rPr>
          <w:sz w:val="20"/>
          <w:szCs w:val="20"/>
          <w:color w:val="auto"/>
        </w:rPr>
      </w:pPr>
    </w:p>
    <w:p>
      <w:pPr>
        <w:ind w:right="60" w:firstLine="298"/>
        <w:spacing w:after="0" w:line="277" w:lineRule="auto"/>
        <w:rPr>
          <w:sz w:val="20"/>
          <w:szCs w:val="20"/>
          <w:color w:val="auto"/>
        </w:rPr>
      </w:pPr>
      <w:r>
        <w:rPr>
          <w:rFonts w:ascii="Arial" w:cs="Arial" w:eastAsia="Arial" w:hAnsi="Arial"/>
          <w:sz w:val="15"/>
          <w:szCs w:val="15"/>
          <w:color w:val="auto"/>
        </w:rPr>
        <w:t>For the election of directors, each director must be elected by a plurality of the votes cast. This means that the four nominees receiving the largest number of "FOR" votes will be elected as directors. We do not have cumulative voting.</w:t>
      </w:r>
    </w:p>
    <w:p>
      <w:pPr>
        <w:spacing w:after="0" w:line="151" w:lineRule="exact"/>
        <w:rPr>
          <w:sz w:val="20"/>
          <w:szCs w:val="20"/>
          <w:color w:val="auto"/>
        </w:rPr>
      </w:pPr>
    </w:p>
    <w:p>
      <w:pPr>
        <w:ind w:right="620" w:firstLine="295"/>
        <w:spacing w:after="0" w:line="277" w:lineRule="auto"/>
        <w:rPr>
          <w:sz w:val="20"/>
          <w:szCs w:val="20"/>
          <w:color w:val="auto"/>
        </w:rPr>
      </w:pPr>
      <w:r>
        <w:rPr>
          <w:rFonts w:ascii="Arial" w:cs="Arial" w:eastAsia="Arial" w:hAnsi="Arial"/>
          <w:sz w:val="15"/>
          <w:szCs w:val="15"/>
          <w:color w:val="auto"/>
        </w:rPr>
        <w:t>The approval, on an advisory basis, of the compensation of our named executive officers, the approval of, on an advisory basis, of the frequency of future advisory votes on the compensation of our named executive officers, the ratification of the appointment of the Company's independent registered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80"/>
        <w:spacing w:after="0" w:line="277" w:lineRule="auto"/>
        <w:rPr>
          <w:sz w:val="20"/>
          <w:szCs w:val="20"/>
          <w:color w:val="auto"/>
        </w:rPr>
      </w:pPr>
      <w:r>
        <w:rPr>
          <w:rFonts w:ascii="Arial" w:cs="Arial" w:eastAsia="Arial" w:hAnsi="Arial"/>
          <w:sz w:val="15"/>
          <w:szCs w:val="15"/>
          <w:color w:val="auto"/>
        </w:rPr>
        <w:t>public accounting firm for the fiscal year ending December 31, 2019, and any other proposals that may come before the Annual Meeting will be determined by the affirmative vote of a majority in voting power of shares of stock present in person or represented by proxy and entitled to vote thereon.</w:t>
      </w:r>
    </w:p>
    <w:p>
      <w:pPr>
        <w:spacing w:after="0" w:line="151" w:lineRule="exact"/>
        <w:rPr>
          <w:sz w:val="20"/>
          <w:szCs w:val="20"/>
          <w:color w:val="auto"/>
        </w:rPr>
      </w:pPr>
    </w:p>
    <w:p>
      <w:pPr>
        <w:ind w:right="120" w:firstLine="295"/>
        <w:spacing w:after="0" w:line="314" w:lineRule="auto"/>
        <w:rPr>
          <w:sz w:val="20"/>
          <w:szCs w:val="20"/>
          <w:color w:val="auto"/>
        </w:rPr>
      </w:pPr>
      <w:r>
        <w:rPr>
          <w:rFonts w:ascii="Arial" w:cs="Arial" w:eastAsia="Arial" w:hAnsi="Arial"/>
          <w:sz w:val="14"/>
          <w:szCs w:val="14"/>
          <w:color w:val="auto"/>
        </w:rPr>
        <w:t>The Founder Member controls approximately 85% of the combined voting power of our outstanding common stock and, as a result, controls any action requiring the general approval of our stockholders, including the election of our board of directors. The Founder Member has informed us that it intends to vote "FOR" the four nominated directors.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are abstentions and broker non-votes counted?</w:t>
      </w:r>
    </w:p>
    <w:p>
      <w:pPr>
        <w:spacing w:after="0" w:line="194" w:lineRule="exact"/>
        <w:rPr>
          <w:sz w:val="20"/>
          <w:szCs w:val="20"/>
          <w:color w:val="auto"/>
        </w:rPr>
      </w:pPr>
    </w:p>
    <w:p>
      <w:pPr>
        <w:ind w:right="60" w:firstLine="289"/>
        <w:spacing w:after="0" w:line="277" w:lineRule="auto"/>
        <w:rPr>
          <w:sz w:val="20"/>
          <w:szCs w:val="20"/>
          <w:color w:val="auto"/>
        </w:rPr>
      </w:pPr>
      <w:r>
        <w:rPr>
          <w:rFonts w:ascii="Arial" w:cs="Arial" w:eastAsia="Arial" w:hAnsi="Arial"/>
          <w:sz w:val="15"/>
          <w:szCs w:val="15"/>
          <w:color w:val="auto"/>
        </w:rPr>
        <w:t>Abstentions (shares present at the meeting in person or by proxy that are voted "abstain") and broker non-votes (explained below) are counted for the purpose of establishing the presence of a quorum but are not counted as votes cast in respect of the proposals to be voted on at the Annual Meeting.</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constitutes a "quorum"?</w:t>
      </w:r>
    </w:p>
    <w:p>
      <w:pPr>
        <w:spacing w:after="0" w:line="194" w:lineRule="exact"/>
        <w:rPr>
          <w:sz w:val="20"/>
          <w:szCs w:val="20"/>
          <w:color w:val="auto"/>
        </w:rPr>
      </w:pPr>
    </w:p>
    <w:p>
      <w:pPr>
        <w:ind w:right="440" w:firstLine="295"/>
        <w:spacing w:after="0" w:line="277" w:lineRule="auto"/>
        <w:rPr>
          <w:sz w:val="20"/>
          <w:szCs w:val="20"/>
          <w:color w:val="auto"/>
        </w:rPr>
      </w:pPr>
      <w:r>
        <w:rPr>
          <w:rFonts w:ascii="Arial" w:cs="Arial" w:eastAsia="Arial" w:hAnsi="Arial"/>
          <w:sz w:val="15"/>
          <w:szCs w:val="15"/>
          <w:color w:val="auto"/>
        </w:rPr>
        <w:t>The holders of a majority of the voting power of the combined shares of Class A common stock, Class B common stock, Class C common stock and Class D common stock issued, outstanding and entitled to vote, either in person or represented by proxy, constitute a quorum.</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is the difference between a stockholder of record and a beneficial owner of shares held in street name?</w:t>
      </w:r>
    </w:p>
    <w:p>
      <w:pPr>
        <w:spacing w:after="0" w:line="205" w:lineRule="exact"/>
        <w:rPr>
          <w:sz w:val="20"/>
          <w:szCs w:val="20"/>
          <w:color w:val="auto"/>
        </w:rPr>
      </w:pPr>
    </w:p>
    <w:p>
      <w:pPr>
        <w:ind w:left="900" w:right="160" w:hanging="451"/>
        <w:spacing w:after="0" w:line="277"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Stockholder of Record. </w:t>
      </w:r>
      <w:r>
        <w:rPr>
          <w:rFonts w:ascii="Arial" w:cs="Arial" w:eastAsia="Arial" w:hAnsi="Arial"/>
          <w:sz w:val="15"/>
          <w:szCs w:val="15"/>
          <w:color w:val="auto"/>
        </w:rPr>
        <w:t>If your shares are registered directly in your name with our transfer agent, American Stock Transfer &amp; Trust Company, LLC, you are a stockholder of</w:t>
      </w:r>
      <w:r>
        <w:rPr>
          <w:rFonts w:ascii="Arial" w:cs="Arial" w:eastAsia="Arial" w:hAnsi="Arial"/>
          <w:sz w:val="15"/>
          <w:szCs w:val="15"/>
          <w:i w:val="1"/>
          <w:iCs w:val="1"/>
          <w:color w:val="auto"/>
        </w:rPr>
        <w:t xml:space="preserve"> </w:t>
      </w:r>
      <w:r>
        <w:rPr>
          <w:rFonts w:ascii="Arial" w:cs="Arial" w:eastAsia="Arial" w:hAnsi="Arial"/>
          <w:sz w:val="15"/>
          <w:szCs w:val="15"/>
          <w:color w:val="auto"/>
        </w:rPr>
        <w:t>record.</w:t>
      </w:r>
    </w:p>
    <w:p>
      <w:pPr>
        <w:spacing w:after="0" w:line="174" w:lineRule="exact"/>
        <w:rPr>
          <w:rFonts w:ascii="Arial" w:cs="Arial" w:eastAsia="Arial" w:hAnsi="Arial"/>
          <w:sz w:val="15"/>
          <w:szCs w:val="15"/>
          <w:color w:val="auto"/>
        </w:rPr>
      </w:pPr>
    </w:p>
    <w:p>
      <w:pPr>
        <w:ind w:left="900" w:hanging="451"/>
        <w:spacing w:after="0" w:line="265"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Beneficial Owner of Shares Held in Street Name. </w:t>
      </w:r>
      <w:r>
        <w:rPr>
          <w:rFonts w:ascii="Arial" w:cs="Arial" w:eastAsia="Arial" w:hAnsi="Arial"/>
          <w:sz w:val="15"/>
          <w:szCs w:val="15"/>
          <w:color w:val="auto"/>
        </w:rPr>
        <w:t>If your shares are held in an account at a brokerage firm, bank, broker-dealer or other similar organization, then you are a</w:t>
      </w:r>
      <w:r>
        <w:rPr>
          <w:rFonts w:ascii="Arial" w:cs="Arial" w:eastAsia="Arial" w:hAnsi="Arial"/>
          <w:sz w:val="15"/>
          <w:szCs w:val="15"/>
          <w:i w:val="1"/>
          <w:iCs w:val="1"/>
          <w:color w:val="auto"/>
        </w:rPr>
        <w:t xml:space="preserve"> </w:t>
      </w:r>
      <w:r>
        <w:rPr>
          <w:rFonts w:ascii="Arial" w:cs="Arial" w:eastAsia="Arial" w:hAnsi="Arial"/>
          <w:sz w:val="15"/>
          <w:szCs w:val="15"/>
          <w:color w:val="auto"/>
        </w:rPr>
        <w:t>beneficial owner of shares held in street name. The organization holding your account is considered the stockholder of record. As a beneficial owner, you have the right to direct the organization holding your account on how to vote the shares you hold in your account.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do I vote?</w:t>
      </w:r>
    </w:p>
    <w:p>
      <w:pPr>
        <w:spacing w:after="0" w:line="205" w:lineRule="exact"/>
        <w:rPr>
          <w:sz w:val="20"/>
          <w:szCs w:val="20"/>
          <w:color w:val="auto"/>
        </w:rPr>
      </w:pPr>
    </w:p>
    <w:p>
      <w:pPr>
        <w:ind w:left="900" w:right="40" w:hanging="451"/>
        <w:spacing w:after="0" w:line="262"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Vote by Internet. Visit www.proxyvote.com to vote via the Internet. </w:t>
      </w:r>
      <w:r>
        <w:rPr>
          <w:rFonts w:ascii="Arial" w:cs="Arial" w:eastAsia="Arial" w:hAnsi="Arial"/>
          <w:sz w:val="15"/>
          <w:szCs w:val="15"/>
          <w:color w:val="auto"/>
        </w:rPr>
        <w:t>Stockholders of record may submit proxies over the Internet by following the instructions on the Notice of</w:t>
      </w:r>
      <w:r>
        <w:rPr>
          <w:rFonts w:ascii="Arial" w:cs="Arial" w:eastAsia="Arial" w:hAnsi="Arial"/>
          <w:sz w:val="15"/>
          <w:szCs w:val="15"/>
          <w:i w:val="1"/>
          <w:iCs w:val="1"/>
          <w:color w:val="auto"/>
        </w:rPr>
        <w:t xml:space="preserve"> </w:t>
      </w:r>
      <w:r>
        <w:rPr>
          <w:rFonts w:ascii="Arial" w:cs="Arial" w:eastAsia="Arial" w:hAnsi="Arial"/>
          <w:sz w:val="15"/>
          <w:szCs w:val="15"/>
          <w:color w:val="auto"/>
        </w:rPr>
        <w:t>Internet Availability of Proxy Materials or, if printed copies of the Proxy Materials were requested, the instructions on the printed proxy card. Most beneficial stockholders may vote by accessing the website specified on the voting instruction forms provided by their brokers, trustees, banks or other nominees. Please check your voting instruction form for Internet voting availability.</w:t>
      </w:r>
    </w:p>
    <w:p>
      <w:pPr>
        <w:spacing w:after="0" w:line="169" w:lineRule="exact"/>
        <w:rPr>
          <w:rFonts w:ascii="Arial" w:cs="Arial" w:eastAsia="Arial" w:hAnsi="Arial"/>
          <w:sz w:val="15"/>
          <w:szCs w:val="15"/>
          <w:color w:val="auto"/>
        </w:rPr>
      </w:pPr>
    </w:p>
    <w:p>
      <w:pPr>
        <w:ind w:left="900" w:right="80" w:hanging="451"/>
        <w:spacing w:after="0" w:line="317" w:lineRule="auto"/>
        <w:tabs>
          <w:tab w:leader="none" w:pos="90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Vote by Telephone. </w:t>
      </w:r>
      <w:r>
        <w:rPr>
          <w:rFonts w:ascii="Arial" w:cs="Arial" w:eastAsia="Arial" w:hAnsi="Arial"/>
          <w:sz w:val="13"/>
          <w:szCs w:val="13"/>
          <w:b w:val="1"/>
          <w:bCs w:val="1"/>
          <w:color w:val="auto"/>
        </w:rPr>
        <w:t>Call toll-free 1-800-690-6903 in the United States or from foreign countries from any touch-tone telephone and follow the instructions.</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w:t>
      </w:r>
      <w:r>
        <w:rPr>
          <w:rFonts w:ascii="Arial" w:cs="Arial" w:eastAsia="Arial" w:hAnsi="Arial"/>
          <w:sz w:val="13"/>
          <w:szCs w:val="13"/>
          <w:i w:val="1"/>
          <w:iCs w:val="1"/>
          <w:color w:val="auto"/>
        </w:rPr>
        <w:t xml:space="preserve"> </w:t>
      </w:r>
      <w:r>
        <w:rPr>
          <w:rFonts w:ascii="Arial" w:cs="Arial" w:eastAsia="Arial" w:hAnsi="Arial"/>
          <w:sz w:val="13"/>
          <w:szCs w:val="13"/>
          <w:color w:val="auto"/>
        </w:rPr>
        <w:t>of record may submit proxies using any touch-tone telephone from within the United States by following the instructions on the Notice of Internet Availability of Proxy Materials or, if printed copies of the Proxy Materials were requested, the instructions on the printed proxy card. Most beneficial owners may vote using any touch-tone telephone from within the United States by calling the number specified on the voting instruction forms provided by their brokers, trustees, banks or other nominees.</w:t>
      </w:r>
    </w:p>
    <w:p>
      <w:pPr>
        <w:spacing w:after="0" w:line="152" w:lineRule="exact"/>
        <w:rPr>
          <w:rFonts w:ascii="Arial" w:cs="Arial" w:eastAsia="Arial" w:hAnsi="Arial"/>
          <w:sz w:val="13"/>
          <w:szCs w:val="13"/>
          <w:color w:val="auto"/>
        </w:rPr>
      </w:pPr>
    </w:p>
    <w:p>
      <w:pPr>
        <w:jc w:val="both"/>
        <w:ind w:left="900" w:right="260" w:hanging="451"/>
        <w:spacing w:after="0" w:line="265"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Vote by Mail. </w:t>
      </w:r>
      <w:r>
        <w:rPr>
          <w:rFonts w:ascii="Arial" w:cs="Arial" w:eastAsia="Arial" w:hAnsi="Arial"/>
          <w:sz w:val="15"/>
          <w:szCs w:val="15"/>
          <w:color w:val="auto"/>
        </w:rPr>
        <w:t>Stockholders of record may submit proxies by mail by requesting printed proxy cards and completing, signing and dating the printed proxy cards and mailing</w:t>
      </w:r>
      <w:r>
        <w:rPr>
          <w:rFonts w:ascii="Arial" w:cs="Arial" w:eastAsia="Arial" w:hAnsi="Arial"/>
          <w:sz w:val="15"/>
          <w:szCs w:val="15"/>
          <w:i w:val="1"/>
          <w:iCs w:val="1"/>
          <w:color w:val="auto"/>
        </w:rPr>
        <w:t xml:space="preserve"> </w:t>
      </w:r>
      <w:r>
        <w:rPr>
          <w:rFonts w:ascii="Arial" w:cs="Arial" w:eastAsia="Arial" w:hAnsi="Arial"/>
          <w:sz w:val="15"/>
          <w:szCs w:val="15"/>
          <w:color w:val="auto"/>
        </w:rPr>
        <w:t>them in the pre-addressed envelopes that will accompany the printed Proxy Materials. Beneficial owners may vote by completing, signing and dating the voting instruction forms provided and mailing them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900" w:right="100"/>
        <w:spacing w:after="0" w:line="286" w:lineRule="auto"/>
        <w:rPr>
          <w:sz w:val="20"/>
          <w:szCs w:val="20"/>
          <w:color w:val="auto"/>
        </w:rPr>
      </w:pPr>
      <w:r>
        <w:rPr>
          <w:rFonts w:ascii="Arial" w:cs="Arial" w:eastAsia="Arial" w:hAnsi="Arial"/>
          <w:sz w:val="14"/>
          <w:szCs w:val="14"/>
          <w:color w:val="auto"/>
        </w:rPr>
        <w:t>the pre-addressed envelopes accompanying the voting instruction forms. 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"How are abstentions and broker non-votes counted?" regarding whether your broker, bank or other holder of record may vote your uninstructed shares on each proposal.</w:t>
      </w:r>
    </w:p>
    <w:p>
      <w:pPr>
        <w:spacing w:after="0" w:line="160" w:lineRule="exact"/>
        <w:rPr>
          <w:sz w:val="20"/>
          <w:szCs w:val="20"/>
          <w:color w:val="auto"/>
        </w:rPr>
      </w:pPr>
    </w:p>
    <w:p>
      <w:pPr>
        <w:jc w:val="both"/>
        <w:ind w:left="900" w:hanging="451"/>
        <w:spacing w:after="0" w:line="286" w:lineRule="auto"/>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Vote in Person at the Annual Meeting. </w:t>
      </w:r>
      <w:r>
        <w:rPr>
          <w:rFonts w:ascii="Arial" w:cs="Arial" w:eastAsia="Arial" w:hAnsi="Arial"/>
          <w:sz w:val="14"/>
          <w:szCs w:val="14"/>
          <w:color w:val="auto"/>
        </w:rPr>
        <w:t>All stockholders as of the close of business on the Record Date can vote in person at the Annual Meeting. You can also be represented by</w:t>
      </w:r>
      <w:r>
        <w:rPr>
          <w:rFonts w:ascii="Arial" w:cs="Arial" w:eastAsia="Arial" w:hAnsi="Arial"/>
          <w:sz w:val="14"/>
          <w:szCs w:val="14"/>
          <w:i w:val="1"/>
          <w:iCs w:val="1"/>
          <w:color w:val="auto"/>
        </w:rPr>
        <w:t xml:space="preserve"> </w:t>
      </w:r>
      <w:r>
        <w:rPr>
          <w:rFonts w:ascii="Arial" w:cs="Arial" w:eastAsia="Arial" w:hAnsi="Arial"/>
          <w:sz w:val="14"/>
          <w:szCs w:val="14"/>
          <w:color w:val="auto"/>
        </w:rPr>
        <w:t>another person at the Annual Meeting by executing a proper proxy designating that person. If you are a beneficial owner, you must obtain a legal proxy from your broker, bank, or other holder of record and present it to the inspector of election with your ballot to be able to vote at the Annual Meeting. Even if you plan to attend the Annual Meeting, we recommend that you also vote either by telephone, by Internet, or by mail so that your vote will be counted if you decide not to attend.</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 I change my vote after submitting a proxy?</w:t>
      </w:r>
    </w:p>
    <w:p>
      <w:pPr>
        <w:spacing w:after="0" w:line="194" w:lineRule="exact"/>
        <w:rPr>
          <w:sz w:val="20"/>
          <w:szCs w:val="20"/>
          <w:color w:val="auto"/>
        </w:rPr>
      </w:pPr>
    </w:p>
    <w:p>
      <w:pPr>
        <w:ind w:right="100" w:firstLine="298"/>
        <w:spacing w:after="0" w:line="286" w:lineRule="auto"/>
        <w:rPr>
          <w:sz w:val="20"/>
          <w:szCs w:val="20"/>
          <w:color w:val="auto"/>
        </w:rPr>
      </w:pPr>
      <w:r>
        <w:rPr>
          <w:rFonts w:ascii="Arial" w:cs="Arial" w:eastAsia="Arial" w:hAnsi="Arial"/>
          <w:sz w:val="14"/>
          <w:szCs w:val="14"/>
          <w:color w:val="auto"/>
        </w:rPr>
        <w:t>Stockholders of record may revoke their proxy at any time before it is exercised at the Annual Meeting by (i) delivering written notice, bearing a date later than the proxy, stating that the proxy is revoked to Virtu Financial, Inc., One Liberty Plaza, 165 Broadway, New York, New York 10006, Attn: Secretary, (ii) submitting a later-dated proxy relating to the same shares by mail, telephone or the Internet prior to the vote at the Annual Meeting, or (iii) attending the Annual Meeting and voting in person. If you are a beneficial stockholder, you may revoke your proxy or change your vote only by following the separate instructions provided by your broker, trust, bank or other nominee.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I hold shares in street name through a broker, can the broker vote my shares for me?</w:t>
      </w:r>
    </w:p>
    <w:p>
      <w:pPr>
        <w:spacing w:after="0" w:line="194"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If you hold your shares in street name and you do not vote, the broker or other organization holding your shares can vote on certain "routine" proposals but cannot vote on other proposals. Proposals 1, 2 and 3 are not considered "routine" proposals. Proposal 4 is a "routine" proposal. If you hold shares in street name and do not vote on proposal 1, 2 or 3, your shares will not be voted in respect of those proposals and will be counted as "broker non-votes."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Who is paying for this proxy solicitation?</w:t>
      </w:r>
    </w:p>
    <w:p>
      <w:pPr>
        <w:spacing w:after="0" w:line="194" w:lineRule="exact"/>
        <w:rPr>
          <w:sz w:val="20"/>
          <w:szCs w:val="20"/>
          <w:color w:val="auto"/>
        </w:rPr>
      </w:pPr>
    </w:p>
    <w:p>
      <w:pPr>
        <w:ind w:right="20" w:firstLine="295"/>
        <w:spacing w:after="0" w:line="262" w:lineRule="auto"/>
        <w:rPr>
          <w:sz w:val="20"/>
          <w:szCs w:val="20"/>
          <w:color w:val="auto"/>
        </w:rPr>
      </w:pPr>
      <w:r>
        <w:rPr>
          <w:rFonts w:ascii="Arial" w:cs="Arial" w:eastAsia="Arial" w:hAnsi="Arial"/>
          <w:sz w:val="15"/>
          <w:szCs w:val="15"/>
          <w:color w:val="auto"/>
        </w:rPr>
        <w:t>We are paying the costs of the solicitation of proxies, which we anticipate will be approximately $10,000.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do I need to do if I want to attend the meeting?</w:t>
      </w:r>
    </w:p>
    <w:p>
      <w:pPr>
        <w:spacing w:after="0" w:line="194" w:lineRule="exact"/>
        <w:rPr>
          <w:sz w:val="20"/>
          <w:szCs w:val="20"/>
          <w:color w:val="auto"/>
        </w:rPr>
      </w:pPr>
    </w:p>
    <w:p>
      <w:pPr>
        <w:ind w:right="60" w:firstLine="292"/>
        <w:spacing w:after="0" w:line="286" w:lineRule="auto"/>
        <w:rPr>
          <w:sz w:val="20"/>
          <w:szCs w:val="20"/>
          <w:color w:val="auto"/>
        </w:rPr>
      </w:pPr>
      <w:r>
        <w:rPr>
          <w:rFonts w:ascii="Arial" w:cs="Arial" w:eastAsia="Arial" w:hAnsi="Arial"/>
          <w:sz w:val="14"/>
          <w:szCs w:val="14"/>
          <w:color w:val="auto"/>
        </w:rPr>
        <w:t>You will need to provide evidence that you are a stockholder as of the Record Date. If you plan to attend the Annual Meeting and you are a registered stockholder, please bring a valid, government-issued photo identification (such as a driver's license or a passport). If you are the beneficial owner of shares held in "street name" through a bank, broker or other intermediary, in addition to government-issued photo identification, you should bring proof of ownership of our common stock as of the Record Date. A recent brokerage statement or a letter from your bank, broker or other intermediary that shows your ownership of our common stock as of the Record Date are examples of proof of ownership.</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300" w:firstLine="298"/>
        <w:spacing w:after="0" w:line="277" w:lineRule="auto"/>
        <w:rPr>
          <w:sz w:val="20"/>
          <w:szCs w:val="20"/>
          <w:color w:val="auto"/>
        </w:rPr>
      </w:pPr>
      <w:r>
        <w:rPr>
          <w:rFonts w:ascii="Arial" w:cs="Arial" w:eastAsia="Arial" w:hAnsi="Arial"/>
          <w:sz w:val="15"/>
          <w:szCs w:val="15"/>
          <w:color w:val="auto"/>
        </w:rPr>
        <w:t>Use of cameras, recording devices, computers, and other electronic devices, such as smartphones and tablets, will not be permitted at the Annual Meeting. Photography and video are prohibited at the Annual Meeting.</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Where can I find voting results?</w:t>
      </w:r>
    </w:p>
    <w:p>
      <w:pPr>
        <w:spacing w:after="0" w:line="194" w:lineRule="exact"/>
        <w:rPr>
          <w:sz w:val="20"/>
          <w:szCs w:val="20"/>
          <w:color w:val="auto"/>
        </w:rPr>
      </w:pPr>
    </w:p>
    <w:p>
      <w:pPr>
        <w:ind w:right="100" w:firstLine="298"/>
        <w:spacing w:after="0" w:line="277" w:lineRule="auto"/>
        <w:rPr>
          <w:sz w:val="20"/>
          <w:szCs w:val="20"/>
          <w:color w:val="auto"/>
        </w:rPr>
      </w:pPr>
      <w:r>
        <w:rPr>
          <w:rFonts w:ascii="Arial" w:cs="Arial" w:eastAsia="Arial" w:hAnsi="Arial"/>
          <w:sz w:val="15"/>
          <w:szCs w:val="15"/>
          <w:color w:val="auto"/>
        </w:rPr>
        <w:t>Final voting results from the Annual Meeting will be filed with the Securities and Exchange Commission ("SEC") on a Current Report on Form 8-K on or before the fourth business day after the Annual Meeting concludes.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 share an address with another stockholder. Why did we receive only one set of Proxy Materials?</w:t>
      </w:r>
    </w:p>
    <w:p>
      <w:pPr>
        <w:spacing w:after="0" w:line="194" w:lineRule="exact"/>
        <w:rPr>
          <w:sz w:val="20"/>
          <w:szCs w:val="20"/>
          <w:color w:val="auto"/>
        </w:rPr>
      </w:pPr>
    </w:p>
    <w:p>
      <w:pPr>
        <w:ind w:firstLine="295"/>
        <w:spacing w:after="0" w:line="281" w:lineRule="auto"/>
        <w:rPr>
          <w:sz w:val="20"/>
          <w:szCs w:val="20"/>
          <w:color w:val="auto"/>
        </w:rPr>
      </w:pPr>
      <w:r>
        <w:rPr>
          <w:rFonts w:ascii="Arial" w:cs="Arial" w:eastAsia="Arial" w:hAnsi="Arial"/>
          <w:sz w:val="14"/>
          <w:szCs w:val="14"/>
          <w:color w:val="auto"/>
        </w:rPr>
        <w:t>We may satisfy SEC rules regarding delivery of our Proxy Materials, including our proxy statement, or delivery of the Notice of Internet Availability of Proxy Materials by delivering a single copy of these documents to an address shared by two or more stockholders. This process is known as "householding." To the extent we have done so, we have delivered only one set of the Proxy Materials or one Notice of Internet Availability of Proxy Materials, as applicable, to stockholders who share an address with another stockholder, unless contrary instructions were received prior to the mailing date. We undertake to promptly deliver, upon written or oral request, a separate copy of our proxy statement, our annual report including our Form 10-K for the fiscal year ended December 31, 2018 and/or our Notice of Internet Availability of Proxy Materials, as requested, to a stockholder at a shared address to which a single copy of these documents was delivered. To make such a request, please follow the instructions on our Notice of Internet Availability of Proxy Materials.</w:t>
      </w:r>
    </w:p>
    <w:p>
      <w:pPr>
        <w:spacing w:after="0" w:line="151" w:lineRule="exact"/>
        <w:rPr>
          <w:sz w:val="20"/>
          <w:szCs w:val="20"/>
          <w:color w:val="auto"/>
        </w:rPr>
      </w:pPr>
    </w:p>
    <w:p>
      <w:pPr>
        <w:ind w:right="120" w:firstLine="298"/>
        <w:spacing w:after="0" w:line="283" w:lineRule="auto"/>
        <w:rPr>
          <w:sz w:val="20"/>
          <w:szCs w:val="20"/>
          <w:color w:val="auto"/>
        </w:rPr>
      </w:pPr>
      <w:r>
        <w:rPr>
          <w:rFonts w:ascii="Arial" w:cs="Arial" w:eastAsia="Arial" w:hAnsi="Arial"/>
          <w:sz w:val="14"/>
          <w:szCs w:val="14"/>
          <w:color w:val="auto"/>
        </w:rPr>
        <w:t>If your shares are held by a brokerage firm or bank and you prefer to receive separate copies of our proxy statement, our annual report including our Form 10-K for the fiscal year ended December 31, 2018 and/or our Notice of Internet Availability of Proxy Materials, either now or in the future, please contact your brokerage firm or bank. If your brokerage firm or bank is unable or unwilling to assist you, please contact our Investor Relations department at our executive office by calling (212) 418-0100. Stockholders sharing an address who are receiving multiple copies of the Proxy Materials and/or our Notice of Internet Availability of Proxy Materials may request to receive a single copy of the Proxy Materials and/or our Notice of Internet Availability of Proxy Materials, either now or in the future, by contacting our Investor Relations department at our executive office by calling (212) 418-0100.</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Whom should I contact if I have additional questions?</w:t>
      </w:r>
    </w:p>
    <w:p>
      <w:pPr>
        <w:spacing w:after="0" w:line="194" w:lineRule="exact"/>
        <w:rPr>
          <w:sz w:val="20"/>
          <w:szCs w:val="20"/>
          <w:color w:val="auto"/>
        </w:rPr>
      </w:pPr>
    </w:p>
    <w:p>
      <w:pPr>
        <w:ind w:right="260" w:firstLine="292"/>
        <w:spacing w:after="0" w:line="277" w:lineRule="auto"/>
        <w:rPr>
          <w:sz w:val="20"/>
          <w:szCs w:val="20"/>
          <w:color w:val="auto"/>
        </w:rPr>
      </w:pPr>
      <w:r>
        <w:rPr>
          <w:rFonts w:ascii="Arial" w:cs="Arial" w:eastAsia="Arial" w:hAnsi="Arial"/>
          <w:sz w:val="15"/>
          <w:szCs w:val="15"/>
          <w:color w:val="auto"/>
        </w:rPr>
        <w:t>You can contact our Investor Relations department or at our executive office at (212) 418-0100. Stockholders who hold their shares in street name should contact the organization that holds their shares for additional information on how to vote.</w:t>
      </w:r>
    </w:p>
    <w:p>
      <w:pPr>
        <w:spacing w:after="0" w:line="147" w:lineRule="exact"/>
        <w:rPr>
          <w:sz w:val="20"/>
          <w:szCs w:val="20"/>
          <w:color w:val="auto"/>
        </w:rPr>
      </w:pPr>
    </w:p>
    <w:p>
      <w:pPr>
        <w:ind w:right="100" w:firstLine="298"/>
        <w:spacing w:after="0" w:line="264" w:lineRule="auto"/>
        <w:rPr>
          <w:sz w:val="20"/>
          <w:szCs w:val="20"/>
          <w:color w:val="auto"/>
        </w:rPr>
      </w:pPr>
      <w:r>
        <w:rPr>
          <w:rFonts w:ascii="Arial" w:cs="Arial" w:eastAsia="Arial" w:hAnsi="Arial"/>
          <w:sz w:val="15"/>
          <w:szCs w:val="15"/>
          <w:b w:val="1"/>
          <w:bCs w:val="1"/>
          <w:color w:val="auto"/>
        </w:rPr>
        <w:t>We make available, free of charge on our website, all of our filings that are made electronically with the SEC, including our Annual Reports on Form 10-K, our Quarterly Reports on Form 10-Q and our Current Reports on Form 8-K. These filings are available on the Investor Relations page of our corporate website at www.virtu.com. Copies of our Annual Report on Form 10-K for the fiscal year ended December 31, 2018, including financial statements and schedules and amendments thereto filed with the SEC, are also available without charge to stockholders upon written request addressed to:</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Virtu Financial,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Attn: Investor Relations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One Liberty Plaza</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165 Broadway</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New York, New York 10006</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PROPOSAL 1: ELECTION OF DIRECTORS</w:t>
      </w:r>
    </w:p>
    <w:p>
      <w:pPr>
        <w:spacing w:after="0" w:line="198" w:lineRule="exact"/>
        <w:rPr>
          <w:sz w:val="20"/>
          <w:szCs w:val="20"/>
          <w:color w:val="auto"/>
        </w:rPr>
      </w:pPr>
    </w:p>
    <w:p>
      <w:pPr>
        <w:jc w:val="both"/>
        <w:ind w:right="40" w:firstLine="289"/>
        <w:spacing w:after="0" w:line="260" w:lineRule="auto"/>
        <w:rPr>
          <w:sz w:val="20"/>
          <w:szCs w:val="20"/>
          <w:color w:val="auto"/>
        </w:rPr>
      </w:pPr>
      <w:r>
        <w:rPr>
          <w:rFonts w:ascii="Arial" w:cs="Arial" w:eastAsia="Arial" w:hAnsi="Arial"/>
          <w:sz w:val="15"/>
          <w:szCs w:val="15"/>
          <w:color w:val="auto"/>
        </w:rPr>
        <w:t>At the Annual Meeting, stockholders will vote to elect the four nominees named in this proxy statement as Class I directors. Each of the Class I directors elected at the Annual Meeting will hold office until the 2022 annual meeting of Stockholders and until his successor has been duly elected and qualified. Our board of directors has nominated William F. Cruger, Jr., Glenn Hutchins, Christopher C. Quick and Vincent Viola to serve as Class I directors for terms expiring at the 2022 annual meeting of Stockholders and until each of their successors has been duly elected and qualified. The persons named as proxies will vote to elect Messrs. Cruger, Hutchins, Quick and Viola unless a stockholder indicates that his or her shares should be withheld with respect to one or more of such nominees.</w:t>
      </w:r>
    </w:p>
    <w:p>
      <w:pPr>
        <w:spacing w:after="0" w:line="164"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In the event that any nominee for Class I director becomes unavailable or declines to serve as a director at the time of the Annual Meeting, the persons named as proxies will vote the proxies in their discretion for any nominee who is designated by the current board of directors to fill the vacancy. All the nominees are currently serving as directors and we do not expect that the nominees will be unavailable or will decline to serve.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Our board of directors recommends that you vote FOR each of the nominees for our board of directors in this proposal 1.</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DIRECTORS, EXECUTIVE OFFICERS AND CORPORATE GOVERNANCE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 and Executive Officers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certain information about our directors and executive officers as of the date of this proxy statement.</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538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220" w:type="dxa"/>
            <w:vAlign w:val="bottom"/>
          </w:tcPr>
          <w:p>
            <w:pPr>
              <w:jc w:val="center"/>
              <w:spacing w:after="0"/>
              <w:rPr>
                <w:sz w:val="20"/>
                <w:szCs w:val="20"/>
                <w:color w:val="auto"/>
              </w:rPr>
            </w:pPr>
            <w:r>
              <w:rPr>
                <w:rFonts w:ascii="Arial" w:cs="Arial" w:eastAsia="Arial" w:hAnsi="Arial"/>
                <w:sz w:val="11"/>
                <w:szCs w:val="11"/>
                <w:b w:val="1"/>
                <w:bCs w:val="1"/>
                <w:color w:val="auto"/>
                <w:w w:val="86"/>
              </w:rPr>
              <w:t>Age</w:t>
            </w:r>
          </w:p>
        </w:tc>
        <w:tc>
          <w:tcPr>
            <w:tcW w:w="140" w:type="dxa"/>
            <w:vAlign w:val="bottom"/>
          </w:tcPr>
          <w:p>
            <w:pPr>
              <w:spacing w:after="0"/>
              <w:rPr>
                <w:sz w:val="11"/>
                <w:szCs w:val="11"/>
                <w:color w:val="auto"/>
              </w:rPr>
            </w:pPr>
          </w:p>
        </w:tc>
        <w:tc>
          <w:tcPr>
            <w:tcW w:w="3420" w:type="dxa"/>
            <w:vAlign w:val="bottom"/>
          </w:tcPr>
          <w:p>
            <w:pPr>
              <w:ind w:left="1500"/>
              <w:spacing w:after="0"/>
              <w:rPr>
                <w:sz w:val="20"/>
                <w:szCs w:val="20"/>
                <w:color w:val="auto"/>
              </w:rPr>
            </w:pPr>
            <w:r>
              <w:rPr>
                <w:rFonts w:ascii="Arial" w:cs="Arial" w:eastAsia="Arial" w:hAnsi="Arial"/>
                <w:sz w:val="11"/>
                <w:szCs w:val="11"/>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Vincent Viola</w:t>
            </w:r>
          </w:p>
        </w:tc>
        <w:tc>
          <w:tcPr>
            <w:tcW w:w="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63</w:t>
            </w:r>
          </w:p>
        </w:tc>
        <w:tc>
          <w:tcPr>
            <w:tcW w:w="14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Founder and Chairman Emeritus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Douglas A. Cifu</w:t>
            </w:r>
          </w:p>
        </w:tc>
        <w:tc>
          <w:tcPr>
            <w:tcW w:w="220" w:type="dxa"/>
            <w:vAlign w:val="bottom"/>
          </w:tcPr>
          <w:p>
            <w:pPr>
              <w:jc w:val="center"/>
              <w:spacing w:after="0"/>
              <w:rPr>
                <w:sz w:val="20"/>
                <w:szCs w:val="20"/>
                <w:color w:val="auto"/>
              </w:rPr>
            </w:pPr>
            <w:r>
              <w:rPr>
                <w:rFonts w:ascii="Arial" w:cs="Arial" w:eastAsia="Arial" w:hAnsi="Arial"/>
                <w:sz w:val="15"/>
                <w:szCs w:val="15"/>
                <w:color w:val="auto"/>
                <w:w w:val="83"/>
              </w:rPr>
              <w:t>53</w:t>
            </w:r>
          </w:p>
        </w:tc>
        <w:tc>
          <w:tcPr>
            <w:tcW w:w="14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Chief Executive Officer and 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Greifeld</w:t>
            </w:r>
          </w:p>
        </w:tc>
        <w:tc>
          <w:tcPr>
            <w:tcW w:w="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61</w:t>
            </w:r>
          </w:p>
        </w:tc>
        <w:tc>
          <w:tcPr>
            <w:tcW w:w="14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Chairman of the Board of Directors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William F. Cruger, Jr.</w:t>
            </w:r>
          </w:p>
        </w:tc>
        <w:tc>
          <w:tcPr>
            <w:tcW w:w="220" w:type="dxa"/>
            <w:vAlign w:val="bottom"/>
          </w:tcPr>
          <w:p>
            <w:pPr>
              <w:jc w:val="center"/>
              <w:spacing w:after="0"/>
              <w:rPr>
                <w:sz w:val="20"/>
                <w:szCs w:val="20"/>
                <w:color w:val="auto"/>
              </w:rPr>
            </w:pPr>
            <w:r>
              <w:rPr>
                <w:rFonts w:ascii="Arial" w:cs="Arial" w:eastAsia="Arial" w:hAnsi="Arial"/>
                <w:sz w:val="15"/>
                <w:szCs w:val="15"/>
                <w:color w:val="auto"/>
                <w:w w:val="83"/>
              </w:rPr>
              <w:t>60</w:t>
            </w:r>
          </w:p>
        </w:tc>
        <w:tc>
          <w:tcPr>
            <w:tcW w:w="14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John D. Nixon</w:t>
            </w:r>
          </w:p>
        </w:tc>
        <w:tc>
          <w:tcPr>
            <w:tcW w:w="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63</w:t>
            </w:r>
          </w:p>
        </w:tc>
        <w:tc>
          <w:tcPr>
            <w:tcW w:w="14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Christopher C. Quick</w:t>
            </w:r>
          </w:p>
        </w:tc>
        <w:tc>
          <w:tcPr>
            <w:tcW w:w="220" w:type="dxa"/>
            <w:vAlign w:val="bottom"/>
          </w:tcPr>
          <w:p>
            <w:pPr>
              <w:jc w:val="center"/>
              <w:spacing w:after="0"/>
              <w:rPr>
                <w:sz w:val="20"/>
                <w:szCs w:val="20"/>
                <w:color w:val="auto"/>
              </w:rPr>
            </w:pPr>
            <w:r>
              <w:rPr>
                <w:rFonts w:ascii="Arial" w:cs="Arial" w:eastAsia="Arial" w:hAnsi="Arial"/>
                <w:sz w:val="15"/>
                <w:szCs w:val="15"/>
                <w:color w:val="auto"/>
                <w:w w:val="83"/>
              </w:rPr>
              <w:t>61</w:t>
            </w:r>
          </w:p>
        </w:tc>
        <w:tc>
          <w:tcPr>
            <w:tcW w:w="14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John F. (Jack) Sandner</w:t>
            </w:r>
          </w:p>
        </w:tc>
        <w:tc>
          <w:tcPr>
            <w:tcW w:w="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77</w:t>
            </w:r>
          </w:p>
        </w:tc>
        <w:tc>
          <w:tcPr>
            <w:tcW w:w="14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Michael T. Viola</w:t>
            </w:r>
          </w:p>
        </w:tc>
        <w:tc>
          <w:tcPr>
            <w:tcW w:w="220" w:type="dxa"/>
            <w:vAlign w:val="bottom"/>
          </w:tcPr>
          <w:p>
            <w:pPr>
              <w:jc w:val="center"/>
              <w:spacing w:after="0"/>
              <w:rPr>
                <w:sz w:val="20"/>
                <w:szCs w:val="20"/>
                <w:color w:val="auto"/>
              </w:rPr>
            </w:pPr>
            <w:r>
              <w:rPr>
                <w:rFonts w:ascii="Arial" w:cs="Arial" w:eastAsia="Arial" w:hAnsi="Arial"/>
                <w:sz w:val="15"/>
                <w:szCs w:val="15"/>
                <w:color w:val="auto"/>
                <w:w w:val="83"/>
              </w:rPr>
              <w:t>32</w:t>
            </w:r>
          </w:p>
        </w:tc>
        <w:tc>
          <w:tcPr>
            <w:tcW w:w="14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Glenn Hutchins</w:t>
            </w:r>
          </w:p>
        </w:tc>
        <w:tc>
          <w:tcPr>
            <w:tcW w:w="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63</w:t>
            </w:r>
          </w:p>
        </w:tc>
        <w:tc>
          <w:tcPr>
            <w:tcW w:w="14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Joseph J. Grano, Jr.</w:t>
            </w:r>
          </w:p>
        </w:tc>
        <w:tc>
          <w:tcPr>
            <w:tcW w:w="220" w:type="dxa"/>
            <w:vAlign w:val="bottom"/>
          </w:tcPr>
          <w:p>
            <w:pPr>
              <w:jc w:val="center"/>
              <w:spacing w:after="0"/>
              <w:rPr>
                <w:sz w:val="20"/>
                <w:szCs w:val="20"/>
                <w:color w:val="auto"/>
              </w:rPr>
            </w:pPr>
            <w:r>
              <w:rPr>
                <w:rFonts w:ascii="Arial" w:cs="Arial" w:eastAsia="Arial" w:hAnsi="Arial"/>
                <w:sz w:val="15"/>
                <w:szCs w:val="15"/>
                <w:color w:val="auto"/>
                <w:w w:val="83"/>
              </w:rPr>
              <w:t>71</w:t>
            </w:r>
          </w:p>
        </w:tc>
        <w:tc>
          <w:tcPr>
            <w:tcW w:w="14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David J. Urban</w:t>
            </w:r>
          </w:p>
        </w:tc>
        <w:tc>
          <w:tcPr>
            <w:tcW w:w="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55</w:t>
            </w:r>
          </w:p>
        </w:tc>
        <w:tc>
          <w:tcPr>
            <w:tcW w:w="14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Joseph Molluso.</w:t>
            </w:r>
          </w:p>
        </w:tc>
        <w:tc>
          <w:tcPr>
            <w:tcW w:w="220" w:type="dxa"/>
            <w:vAlign w:val="bottom"/>
          </w:tcPr>
          <w:p>
            <w:pPr>
              <w:jc w:val="center"/>
              <w:spacing w:after="0"/>
              <w:rPr>
                <w:sz w:val="20"/>
                <w:szCs w:val="20"/>
                <w:color w:val="auto"/>
              </w:rPr>
            </w:pPr>
            <w:r>
              <w:rPr>
                <w:rFonts w:ascii="Arial" w:cs="Arial" w:eastAsia="Arial" w:hAnsi="Arial"/>
                <w:sz w:val="15"/>
                <w:szCs w:val="15"/>
                <w:color w:val="auto"/>
                <w:w w:val="83"/>
              </w:rPr>
              <w:t>50</w:t>
            </w:r>
          </w:p>
        </w:tc>
        <w:tc>
          <w:tcPr>
            <w:tcW w:w="14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w w:val="98"/>
              </w:rPr>
              <w:t>Executive Vice President and Chief Financial Officer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Stephen Cavoli</w:t>
            </w:r>
          </w:p>
        </w:tc>
        <w:tc>
          <w:tcPr>
            <w:tcW w:w="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50</w:t>
            </w:r>
          </w:p>
        </w:tc>
        <w:tc>
          <w:tcPr>
            <w:tcW w:w="14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Executive Vice President, Markets</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Set forth below is a brief biography of each of our directors and executive officers.</w:t>
      </w:r>
    </w:p>
    <w:p>
      <w:pPr>
        <w:spacing w:after="0" w:line="194"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On January 18, 2019, the Company announced the retirement of General John P. Abizaid, a director of the Company, effective January 18, 2019. For additional information, please see the Current Report on Form 8-K filed by the Company with the SEC on January 18, 2019.</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Class I Directors</w:t>
      </w:r>
    </w:p>
    <w:p>
      <w:pPr>
        <w:spacing w:after="0" w:line="194" w:lineRule="exact"/>
        <w:rPr>
          <w:sz w:val="20"/>
          <w:szCs w:val="20"/>
          <w:color w:val="auto"/>
        </w:rPr>
      </w:pPr>
    </w:p>
    <w:p>
      <w:pPr>
        <w:ind w:right="120" w:firstLine="295"/>
        <w:spacing w:after="0" w:line="277" w:lineRule="auto"/>
        <w:rPr>
          <w:sz w:val="20"/>
          <w:szCs w:val="20"/>
          <w:color w:val="auto"/>
        </w:rPr>
      </w:pPr>
      <w:r>
        <w:rPr>
          <w:rFonts w:ascii="Arial" w:cs="Arial" w:eastAsia="Arial" w:hAnsi="Arial"/>
          <w:sz w:val="15"/>
          <w:szCs w:val="15"/>
          <w:color w:val="auto"/>
        </w:rPr>
        <w:t>The term of the following four Class I directors will expire at the Annual Meeting. Messrs. Cruger, Hutchins, Quick and Viola are the only nominees for election at the Annual Meeting, for a term that will expire at the 2022 annual meeting of Stockholders and until each of their successors has been duly elected and qualified.</w:t>
      </w:r>
    </w:p>
    <w:p>
      <w:pPr>
        <w:spacing w:after="0" w:line="151" w:lineRule="exact"/>
        <w:rPr>
          <w:sz w:val="20"/>
          <w:szCs w:val="20"/>
          <w:color w:val="auto"/>
        </w:rPr>
      </w:pPr>
    </w:p>
    <w:p>
      <w:pPr>
        <w:ind w:firstLine="298"/>
        <w:spacing w:after="0" w:line="278" w:lineRule="auto"/>
        <w:rPr>
          <w:sz w:val="20"/>
          <w:szCs w:val="20"/>
          <w:color w:val="auto"/>
        </w:rPr>
      </w:pPr>
      <w:r>
        <w:rPr>
          <w:rFonts w:ascii="Arial" w:cs="Arial" w:eastAsia="Arial" w:hAnsi="Arial"/>
          <w:sz w:val="14"/>
          <w:szCs w:val="14"/>
          <w:b w:val="1"/>
          <w:bCs w:val="1"/>
          <w:i w:val="1"/>
          <w:iCs w:val="1"/>
          <w:color w:val="auto"/>
        </w:rPr>
        <w:t xml:space="preserve">William F. Cruger, Jr. </w:t>
      </w:r>
      <w:r>
        <w:rPr>
          <w:rFonts w:ascii="Arial" w:cs="Arial" w:eastAsia="Arial" w:hAnsi="Arial"/>
          <w:sz w:val="14"/>
          <w:szCs w:val="14"/>
          <w:color w:val="auto"/>
        </w:rPr>
        <w:t>became a member of our board of directors in April 2015 and has been a member of the board of directors of Virtu Financial LLC ("Virtu Financial"), which is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subsidiary of the Company and was the entity through which we conducted our business prior to our initial public offering, since February 2015. He was most recently Vice Chairman of Investment Banking at J.P. Morgan and Co., where he was responsible for key client relationships on a global basis. Previously, Mr. Cruger held a number of senior positions at J.P. Morgan, including Managing Director in the Financial Institutions group from 1996 to 2011. During this time, he also oversaw the rationalization of the firm's private equity investments in trading platforms and related ventures at Lab Morgan from 2000 to 2001. Prior to this, Mr. Cruger ran the firm's investment banking practices in Japan from 1991 to 1996, Latin America from 1989 to 1991 and Emerging Asia from 1984 to 1988. Mr. Cruger currently serves on the board of MarketAxess Holdings Inc. and People's United Financial, Inc., and has previously served on the boards of Archipelago Holdings, Inc., CreditTrade, Inc. and Capital IQ, Inc. He has an M.B.A. from Columbia University and a B.A. from Clark University. Mr. Cruger's extensive experience in financial markets and financial leadership adds significant value to our board of directors.</w:t>
      </w:r>
    </w:p>
    <w:p>
      <w:pPr>
        <w:spacing w:after="0" w:line="156" w:lineRule="exact"/>
        <w:rPr>
          <w:sz w:val="20"/>
          <w:szCs w:val="20"/>
          <w:color w:val="auto"/>
        </w:rPr>
      </w:pPr>
    </w:p>
    <w:p>
      <w:pPr>
        <w:ind w:right="220" w:firstLine="298"/>
        <w:spacing w:after="0" w:line="277" w:lineRule="auto"/>
        <w:rPr>
          <w:sz w:val="20"/>
          <w:szCs w:val="20"/>
          <w:color w:val="auto"/>
        </w:rPr>
      </w:pPr>
      <w:r>
        <w:rPr>
          <w:rFonts w:ascii="Arial" w:cs="Arial" w:eastAsia="Arial" w:hAnsi="Arial"/>
          <w:sz w:val="15"/>
          <w:szCs w:val="15"/>
          <w:b w:val="1"/>
          <w:bCs w:val="1"/>
          <w:i w:val="1"/>
          <w:iCs w:val="1"/>
          <w:color w:val="auto"/>
        </w:rPr>
        <w:t xml:space="preserve">Glenn Hutchins </w:t>
      </w:r>
      <w:r>
        <w:rPr>
          <w:rFonts w:ascii="Arial" w:cs="Arial" w:eastAsia="Arial" w:hAnsi="Arial"/>
          <w:sz w:val="15"/>
          <w:szCs w:val="15"/>
          <w:color w:val="auto"/>
        </w:rPr>
        <w:t>became a member of our board of directors in July 2017. Mr. Hutchins is Chairman of North Island, an investment firm based in New York, New York. He is also co-founder of Silver Lake Partners, a technology investment firm based in New York, New York and Menlo Park,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California, which was founded in 1999, and where Mr. Hutchins served as co-CEO until 2011 and as Managing Director from 1999 until 2011. Prior to that, Mr. Hutchins was Senior Managing Director at The Blackstone Group from 1994 to 1999. Mr. Hutchins served as Chairman of the Board of SunGard Data Systems Inc., a software and technology services company, from 2005 until 2015. He is a Director of AT&amp;T, Co-Chairman of the Brookings Institution, Vice Chairman of the Economic Club of New York, on the Executive Committee of the New York Presbyterian Hospital and a board member of both the Obama Foundation and the Federal Reserve Bank of New York. Previously, Mr. Hutchins served as a Special Advisor in the White House on economic and health-care policy from 1993 to 1994 and as Senior Advisor on the transition of the federal administration from 1992 to 1993. He holds an A.B. from Harvard College, an M.B.A. from Harvard Business School, and a J.D. from Harvard Law School. Mr. Hutchins' qualifications to serve on our board of directors include his extensive experience and expertise in the technology and financial sectors, his public policy experience, and his strong strategic focus.</w:t>
      </w:r>
    </w:p>
    <w:p>
      <w:pPr>
        <w:spacing w:after="0" w:line="155" w:lineRule="exact"/>
        <w:rPr>
          <w:sz w:val="20"/>
          <w:szCs w:val="20"/>
          <w:color w:val="auto"/>
        </w:rPr>
      </w:pPr>
    </w:p>
    <w:p>
      <w:pPr>
        <w:ind w:firstLine="298"/>
        <w:spacing w:after="0" w:line="257" w:lineRule="auto"/>
        <w:rPr>
          <w:sz w:val="20"/>
          <w:szCs w:val="20"/>
          <w:color w:val="auto"/>
        </w:rPr>
      </w:pPr>
      <w:r>
        <w:rPr>
          <w:rFonts w:ascii="Arial" w:cs="Arial" w:eastAsia="Arial" w:hAnsi="Arial"/>
          <w:sz w:val="15"/>
          <w:szCs w:val="15"/>
          <w:b w:val="1"/>
          <w:bCs w:val="1"/>
          <w:i w:val="1"/>
          <w:iCs w:val="1"/>
          <w:color w:val="auto"/>
        </w:rPr>
        <w:t xml:space="preserve">Christopher C. Quick </w:t>
      </w:r>
      <w:r>
        <w:rPr>
          <w:rFonts w:ascii="Arial" w:cs="Arial" w:eastAsia="Arial" w:hAnsi="Arial"/>
          <w:sz w:val="15"/>
          <w:szCs w:val="15"/>
          <w:color w:val="auto"/>
        </w:rPr>
        <w:t>became a member of our board of directors in April 2016. Mr. Quick has more than 30 years of experience in the securities and financial services industries. He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former CEO of Banc of America Specialist, Inc., a wholly owned subsidiary of Bank of America Corporation and member firm of the New York Stock Exchange ("NYSE"). He is also a past Vice Chairman of Global Wealth and Investment Management with Bank of America. From 1982 to 2004, he served as Chairman and Chief Executive Officer of Q&amp;R Specialist, JJC Specialist and Fleet Specialists where he remained following the firm's acquisition by Bank of America Corporation. He is a member of the board of directors of The Alfred E. Smith Memorial Foundation Inc. and Mutual of America. He is also a former member of the NYSE Board of Directors, the board of directors of KCG Holdings, Inc. ("KCG") and the Board of Trustees for the Boys Club of New York. Mr. Quick received a B.S. in Finance from Fairfield University in 1979. Mr. Quick's qualifications to serve on our board of directors include his significant experience in the financial services and securities industries, including in the specialist business, and in senior leadership roles and his substantial experience with post-merger and acquisition integration matters.</w:t>
      </w:r>
    </w:p>
    <w:p>
      <w:pPr>
        <w:spacing w:after="0" w:line="170" w:lineRule="exact"/>
        <w:rPr>
          <w:sz w:val="20"/>
          <w:szCs w:val="20"/>
          <w:color w:val="auto"/>
        </w:rPr>
      </w:pPr>
    </w:p>
    <w:p>
      <w:pPr>
        <w:ind w:right="40" w:firstLine="298"/>
        <w:spacing w:after="0" w:line="257" w:lineRule="auto"/>
        <w:rPr>
          <w:sz w:val="20"/>
          <w:szCs w:val="20"/>
          <w:color w:val="auto"/>
        </w:rPr>
      </w:pPr>
      <w:r>
        <w:rPr>
          <w:rFonts w:ascii="Arial" w:cs="Arial" w:eastAsia="Arial" w:hAnsi="Arial"/>
          <w:sz w:val="15"/>
          <w:szCs w:val="15"/>
          <w:b w:val="1"/>
          <w:bCs w:val="1"/>
          <w:i w:val="1"/>
          <w:iCs w:val="1"/>
          <w:color w:val="auto"/>
        </w:rPr>
        <w:t xml:space="preserve">Vincent Viola </w:t>
      </w:r>
      <w:r>
        <w:rPr>
          <w:rFonts w:ascii="Arial" w:cs="Arial" w:eastAsia="Arial" w:hAnsi="Arial"/>
          <w:sz w:val="15"/>
          <w:szCs w:val="15"/>
          <w:color w:val="auto"/>
        </w:rPr>
        <w:t>is our founder and has served as a member and Chairman Emeritus of our board of directors since July 2017. From November 2013 until July 2017, Mr. Viola served as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Executive Chairman and Chairman of our board of directors. He previously served as Chief Executive Officer and Chairman of the board of directors of Virtu and its predecessors since April 2008. Mr. Viola is one of the nation's foremost leaders in electronic trading. He was the founder of Virtu Financial Operating LLC ("Virtu East") in 2008, a founder of Madison Tyler Holdings, LLC ("Madison Tyler Holdings") in 2002 and is the former Chairman of the New York Mercantile Exchange ("NYMEX"). Mr. Viola started his career in the financial services industry on the floor of the NYMEX and became Vice Chairman from 1993 to 1996 and Chairman from 2001 to 2004. Mr. Viola graduated from the U.S. Military Academy at West Point in 1977. He later graduated from the U.S. Army Airborne, Infantry and Ranger Schools and served in the 101st Airborne Division. In 1983, he graduated from New York Law School. Mr. Viola's extensive business experience in the financial services industry provides our board of directors with valuable knowledge and experience in the electronic trading and market making business. In addition, as our founder, Mr. Viola has successfully led Virtu since its inception and provides our board of directors with valuable insight regarding strategic decisions and the future direction of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Class II Directors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term of the following four Class II directors will expire at the 2020 Annual Meeting of Stockholders.</w:t>
      </w:r>
    </w:p>
    <w:p>
      <w:pPr>
        <w:spacing w:after="0" w:line="194" w:lineRule="exact"/>
        <w:rPr>
          <w:sz w:val="20"/>
          <w:szCs w:val="20"/>
          <w:color w:val="auto"/>
        </w:rPr>
      </w:pPr>
    </w:p>
    <w:p>
      <w:pPr>
        <w:ind w:right="420" w:firstLine="298"/>
        <w:spacing w:after="0" w:line="277" w:lineRule="auto"/>
        <w:rPr>
          <w:sz w:val="20"/>
          <w:szCs w:val="20"/>
          <w:color w:val="auto"/>
        </w:rPr>
      </w:pPr>
      <w:r>
        <w:rPr>
          <w:rFonts w:ascii="Arial" w:cs="Arial" w:eastAsia="Arial" w:hAnsi="Arial"/>
          <w:sz w:val="15"/>
          <w:szCs w:val="15"/>
          <w:b w:val="1"/>
          <w:bCs w:val="1"/>
          <w:i w:val="1"/>
          <w:iCs w:val="1"/>
          <w:color w:val="auto"/>
        </w:rPr>
        <w:t xml:space="preserve">Douglas A. Cifu </w:t>
      </w:r>
      <w:r>
        <w:rPr>
          <w:rFonts w:ascii="Arial" w:cs="Arial" w:eastAsia="Arial" w:hAnsi="Arial"/>
          <w:sz w:val="15"/>
          <w:szCs w:val="15"/>
          <w:color w:val="auto"/>
        </w:rPr>
        <w:t>has been our Chief Executive Officer and a member of our board of directors since November 2013. He previously served as Virtu's President and Chief Operating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and has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 xml:space="preserve">served on its board of directors or the boards of its predecessors since co-founding the firm in April 2008. Prior to co-founding Virtu, Mr. Cifu was a partner at the international law firm of Paul, Weiss, Rifkind, Wharton &amp; Garrison LLP, where he practiced corporate law from 1990 to 2008. Mr. Cifu also serves on the board of directors of Independent Bank Group, Inc., a regional bank holding company. Mr. Cifu completed his J.D. at Columbia Law School in 1990 and received his B.A. from Columbia University in 1987, from which he graduated </w:t>
      </w:r>
      <w:r>
        <w:rPr>
          <w:rFonts w:ascii="Arial" w:cs="Arial" w:eastAsia="Arial" w:hAnsi="Arial"/>
          <w:sz w:val="14"/>
          <w:szCs w:val="14"/>
          <w:i w:val="1"/>
          <w:iCs w:val="1"/>
          <w:color w:val="auto"/>
        </w:rPr>
        <w:t>magna cum</w:t>
      </w:r>
      <w:r>
        <w:rPr>
          <w:rFonts w:ascii="Arial" w:cs="Arial" w:eastAsia="Arial" w:hAnsi="Arial"/>
          <w:sz w:val="14"/>
          <w:szCs w:val="14"/>
          <w:color w:val="auto"/>
        </w:rPr>
        <w:t xml:space="preserve"> </w:t>
      </w:r>
      <w:r>
        <w:rPr>
          <w:rFonts w:ascii="Arial" w:cs="Arial" w:eastAsia="Arial" w:hAnsi="Arial"/>
          <w:sz w:val="14"/>
          <w:szCs w:val="14"/>
          <w:i w:val="1"/>
          <w:iCs w:val="1"/>
          <w:color w:val="auto"/>
        </w:rPr>
        <w:t>laude</w:t>
      </w:r>
      <w:r>
        <w:rPr>
          <w:rFonts w:ascii="Arial" w:cs="Arial" w:eastAsia="Arial" w:hAnsi="Arial"/>
          <w:sz w:val="14"/>
          <w:szCs w:val="14"/>
          <w:color w:val="auto"/>
        </w:rPr>
        <w:t>. Mr. Cifu's experience as a corporate attorney provides us with valuable insight regarding acquisitions, debt financings, equity financings and public markets.</w:t>
      </w:r>
    </w:p>
    <w:p>
      <w:pPr>
        <w:spacing w:after="0" w:line="148" w:lineRule="exact"/>
        <w:rPr>
          <w:sz w:val="20"/>
          <w:szCs w:val="20"/>
          <w:color w:val="auto"/>
        </w:rPr>
      </w:pPr>
    </w:p>
    <w:p>
      <w:pPr>
        <w:ind w:firstLine="298"/>
        <w:spacing w:after="0" w:line="276" w:lineRule="auto"/>
        <w:rPr>
          <w:sz w:val="20"/>
          <w:szCs w:val="20"/>
          <w:color w:val="auto"/>
        </w:rPr>
      </w:pPr>
      <w:r>
        <w:rPr>
          <w:rFonts w:ascii="Arial" w:cs="Arial" w:eastAsia="Arial" w:hAnsi="Arial"/>
          <w:sz w:val="14"/>
          <w:szCs w:val="14"/>
          <w:b w:val="1"/>
          <w:bCs w:val="1"/>
          <w:i w:val="1"/>
          <w:iCs w:val="1"/>
          <w:color w:val="auto"/>
        </w:rPr>
        <w:t xml:space="preserve">Joseph J. Grano, Jr. </w:t>
      </w:r>
      <w:r>
        <w:rPr>
          <w:rFonts w:ascii="Arial" w:cs="Arial" w:eastAsia="Arial" w:hAnsi="Arial"/>
          <w:sz w:val="14"/>
          <w:szCs w:val="14"/>
          <w:color w:val="auto"/>
        </w:rPr>
        <w:t>became a member of our board of directors in October 2017. He has been a director of Aevi Genomic Medicine, Inc. (NASDAQ:GNMX), a biopharmaceutical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since March 2013, and he also has more than 30 years of experience in the securities and financial services industries. Mr. Grano currently serves as the Managing Partner of the JJG Family Office, which primarily engages in advisory services. From 2001 to 2004, he was Chairman and CEO of UBS Financial Services Inc. (formerly UBS PaineWebber), where he was instrumental in helping to bring about the merger of PaineWebber with UBS in 2000. Prior to joining PaineWebber, he held various senior management positions with Merrill Lynch &amp; Co., including Director of National Sales. Mr. Grano also serves as Non-Executive Chairman of root9B Holdings, Inc. (OTC PINK: RTNB), a cybersecurity and regulatory risk mitigation company, and served previously as Chairman of the Board of Governors of the National Association of Securities Dealers (NASD) (predecessor to the Financial Industry Regulatory Authority (FINRA)), and was formerly a member of the NASD's Executive Committee. In addition to his industry experience, Mr. Grano serves as a member of the City University of New York's Business Leadership Council and Chairman of the Corporate Advisory Board of Law Enforcement Against Drugs, and from 2002 until 2005 served as the Chairman of the Homeland Security Advisory Council. He has also previously served as the Vice Chairman of the Queens College Foundation Board of Trustees, and has previously sat on the board of directors of the YMCA of Greater New York and on the board of Lenox Hill Hospital, among his other civic and philanthropic endeavors. Mr. Grano holds Honorary Doctorate of Law degrees from Pepperdine University and Babson College as well as Honorary Doctor of Humane Letters degrees from Queens College, City University of New York and Central Connecticut State University. In addition, he holds an Honorary Doctor of Business Administration degree from the University of New Haven. Mr. Grano's previous senior leadership roles in the financial securities industry and public company experience provide a valuable insight regarding strategic decisions and add value to our board of directors.</w:t>
      </w:r>
    </w:p>
    <w:p>
      <w:pPr>
        <w:spacing w:after="0" w:line="157" w:lineRule="exact"/>
        <w:rPr>
          <w:sz w:val="20"/>
          <w:szCs w:val="20"/>
          <w:color w:val="auto"/>
        </w:rPr>
      </w:pPr>
    </w:p>
    <w:p>
      <w:pPr>
        <w:ind w:firstLine="298"/>
        <w:spacing w:after="0" w:line="279" w:lineRule="auto"/>
        <w:rPr>
          <w:sz w:val="20"/>
          <w:szCs w:val="20"/>
          <w:color w:val="auto"/>
        </w:rPr>
      </w:pPr>
      <w:r>
        <w:rPr>
          <w:rFonts w:ascii="Arial" w:cs="Arial" w:eastAsia="Arial" w:hAnsi="Arial"/>
          <w:sz w:val="14"/>
          <w:szCs w:val="14"/>
          <w:b w:val="1"/>
          <w:bCs w:val="1"/>
          <w:i w:val="1"/>
          <w:iCs w:val="1"/>
          <w:color w:val="auto"/>
        </w:rPr>
        <w:t xml:space="preserve">Robert Greifeld </w:t>
      </w:r>
      <w:r>
        <w:rPr>
          <w:rFonts w:ascii="Arial" w:cs="Arial" w:eastAsia="Arial" w:hAnsi="Arial"/>
          <w:sz w:val="14"/>
          <w:szCs w:val="14"/>
          <w:color w:val="auto"/>
        </w:rPr>
        <w:t>became a member and the Chairman of our board of directors in July 2017. Mr. Greifeld is a co-founder of North Island LLC ("North Island") and Cornerstone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Investment Capital. He previously served as Chairman of the board of directors of The Nasdaq Stock Market LLC ("NASDAQ") from January 2017 until May 2017 and as Chief Executive Officer of NASDAQ from 2003 to 2016. During his tenure, Mr. Greifeld led NASDAQ through a series of complex, innovative acquisitions that extended the company's footprint from a single U.S. equity exchange to a global exchange and technology solutions provider, nearly quadrupling revenue, growing annual operating profits by more than 24 times and achieving a market value of over $11 billion. Mr. Greifeld is a member of the Economic Club of New York and the NYU Stern Board of Overseers. He is founder and Chairman of the USA Track &amp; Field Foundation, which supports emerging athletes and inner-city youth athletics. Mr. Greifeld holds a Masters in Business from New York University, Stern School of Business, and a B.A. in English from Iona College. Mr. Greifeld's previous industry leadership service adds significant value to our board of directors.</w:t>
      </w:r>
    </w:p>
    <w:p>
      <w:pPr>
        <w:spacing w:after="0" w:line="155" w:lineRule="exact"/>
        <w:rPr>
          <w:sz w:val="20"/>
          <w:szCs w:val="20"/>
          <w:color w:val="auto"/>
        </w:rPr>
      </w:pPr>
    </w:p>
    <w:p>
      <w:pPr>
        <w:ind w:right="400" w:firstLine="298"/>
        <w:spacing w:after="0" w:line="277" w:lineRule="auto"/>
        <w:rPr>
          <w:sz w:val="20"/>
          <w:szCs w:val="20"/>
          <w:color w:val="auto"/>
        </w:rPr>
      </w:pPr>
      <w:r>
        <w:rPr>
          <w:rFonts w:ascii="Arial" w:cs="Arial" w:eastAsia="Arial" w:hAnsi="Arial"/>
          <w:sz w:val="15"/>
          <w:szCs w:val="15"/>
          <w:b w:val="1"/>
          <w:bCs w:val="1"/>
          <w:i w:val="1"/>
          <w:iCs w:val="1"/>
          <w:color w:val="auto"/>
        </w:rPr>
        <w:t xml:space="preserve">John F. (Jack) Sandner </w:t>
      </w:r>
      <w:r>
        <w:rPr>
          <w:rFonts w:ascii="Arial" w:cs="Arial" w:eastAsia="Arial" w:hAnsi="Arial"/>
          <w:sz w:val="15"/>
          <w:szCs w:val="15"/>
          <w:color w:val="auto"/>
        </w:rPr>
        <w:t>became a member of our board of directors in April 2015 and has been a member of Virtu Financial's board of directors since November 2011. Mr. Sandner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a member of the board of directors of CME Group Inc. from 1978 to 2018, as Chairman of the board for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20"/>
        <w:spacing w:after="0" w:line="309" w:lineRule="auto"/>
        <w:rPr>
          <w:sz w:val="20"/>
          <w:szCs w:val="20"/>
          <w:color w:val="auto"/>
        </w:rPr>
      </w:pPr>
      <w:r>
        <w:rPr>
          <w:rFonts w:ascii="Arial" w:cs="Arial" w:eastAsia="Arial" w:hAnsi="Arial"/>
          <w:sz w:val="13"/>
          <w:szCs w:val="13"/>
          <w:color w:val="auto"/>
        </w:rPr>
        <w:t>13 years, and as a member of CME for more than 30 years. He also served as Special Policy Advisor from 1998 to 2005. Mr. Sandner served as Chairman of E*Trade Futures, LLC from 2003 to 2013. Mr. Sandner previously served as President and CEO of RB&amp;H Financial Services, L.P., a futures commission merchant and clearing firm ("RB&amp;H Financial Services"), from 1985 to 2003. RB&amp;H Financial Services is now a division of MF Global. Mr. Sandner serves as a consultant to RB&amp;H Financial Services and to CME. Mr. Sandner currently serves on the board of the National Futures Association. Mr. Sandner previously served on the board of Echo Global Logistics, Inc. and previously served on the board of Click Commerce Inc. Mr. Sandner's extensive business experience in the electronic market making business and his previous service on the boards of other public companies adds significant value to our 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Class III Directors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term of the following three Class III directors will expire at the 2021 Annual Meeting of Stockholders.</w:t>
      </w:r>
    </w:p>
    <w:p>
      <w:pPr>
        <w:spacing w:after="0" w:line="194" w:lineRule="exact"/>
        <w:rPr>
          <w:sz w:val="20"/>
          <w:szCs w:val="20"/>
          <w:color w:val="auto"/>
        </w:rPr>
      </w:pPr>
    </w:p>
    <w:p>
      <w:pPr>
        <w:ind w:right="40" w:firstLine="298"/>
        <w:spacing w:after="0" w:line="258" w:lineRule="auto"/>
        <w:rPr>
          <w:sz w:val="20"/>
          <w:szCs w:val="20"/>
          <w:color w:val="auto"/>
        </w:rPr>
      </w:pPr>
      <w:r>
        <w:rPr>
          <w:rFonts w:ascii="Arial" w:cs="Arial" w:eastAsia="Arial" w:hAnsi="Arial"/>
          <w:sz w:val="15"/>
          <w:szCs w:val="15"/>
          <w:b w:val="1"/>
          <w:bCs w:val="1"/>
          <w:i w:val="1"/>
          <w:iCs w:val="1"/>
          <w:color w:val="auto"/>
        </w:rPr>
        <w:t xml:space="preserve">John D. Nixon </w:t>
      </w:r>
      <w:r>
        <w:rPr>
          <w:rFonts w:ascii="Arial" w:cs="Arial" w:eastAsia="Arial" w:hAnsi="Arial"/>
          <w:sz w:val="15"/>
          <w:szCs w:val="15"/>
          <w:color w:val="auto"/>
        </w:rPr>
        <w:t>became a member of our board of directors in May 2015. Mr. Nixon has more than 30 years of international experience in the interdealer broker industry with ICAP plc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("ICAP") and, previously, with Tullett Prebon. He served as a non-executive director of ICAP from 1998 to 2002 and served as executive director from May 2008 until his retirement in March 2015. Mr. Nixon was a member of ICAP's Global Executive Management Group from 2003 to 2015 with responsibility during that period for business divisions and strategic acquisitions. He represented the ICAP Americas businesses to the ICAP board, was chairman of the i-Swap business and had been responsible for the implementation of the ICAP Swap Execution Facility. Mr. Nixon holds a degree in Commerce from Queen's University, Ontario. In addition to serving on our board, Mr. Nixon serves as our representative on the board of Eris Exchange Holdings, LLC, as a Senior Advisor to Teneo Holdings and as a senior financial services advisor to Temasek USA. Mr. Nixon's extensive business experience in the interdealer broker industry adds significant value to our board of directors.</w:t>
      </w:r>
    </w:p>
    <w:p>
      <w:pPr>
        <w:spacing w:after="0" w:line="167" w:lineRule="exact"/>
        <w:rPr>
          <w:sz w:val="20"/>
          <w:szCs w:val="20"/>
          <w:color w:val="auto"/>
        </w:rPr>
      </w:pPr>
    </w:p>
    <w:p>
      <w:pPr>
        <w:ind w:right="80" w:firstLine="298"/>
        <w:spacing w:after="0" w:line="278" w:lineRule="auto"/>
        <w:rPr>
          <w:sz w:val="20"/>
          <w:szCs w:val="20"/>
          <w:color w:val="auto"/>
        </w:rPr>
      </w:pPr>
      <w:r>
        <w:rPr>
          <w:rFonts w:ascii="Arial" w:cs="Arial" w:eastAsia="Arial" w:hAnsi="Arial"/>
          <w:sz w:val="14"/>
          <w:szCs w:val="14"/>
          <w:b w:val="1"/>
          <w:bCs w:val="1"/>
          <w:i w:val="1"/>
          <w:iCs w:val="1"/>
          <w:color w:val="auto"/>
        </w:rPr>
        <w:t xml:space="preserve">David J. Urban </w:t>
      </w:r>
      <w:r>
        <w:rPr>
          <w:rFonts w:ascii="Arial" w:cs="Arial" w:eastAsia="Arial" w:hAnsi="Arial"/>
          <w:sz w:val="14"/>
          <w:szCs w:val="14"/>
          <w:color w:val="auto"/>
        </w:rPr>
        <w:t>became a member of our board of directors in December 2018. Mr. Urban is President of the American Continental Group, a leading bi-partisan government affairs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strategic consulting firm which provides strategic consulting services across the financial services and technology sectors, among others, where he has held various positions of increasing seniority for 17 years. Mr. Urban also serves as an adjunct professor at the H. John Heinz III School of Public Policy and Management at Carnegie Mellon University. Mr. Urban previously served as the Chief of Staff for a United States Senator from 1997 to 2002, and from 1994 to 1997 was an attorney in private practice. From 1986 through 1991, Mr. Urban served as an artillery officer in the United States Army's 101 Airborne Division. Mr. Urban holds a Bachelor of Science degree from the United States Military Academy at West Point, a Master of Government Administration degree from the University of Pennsylvania and a Juris Doctor from the Temple University School of Law. Mr. Urban's governmental relations experience and his previous industry leadership service adds significant value to our board of directors. Mr. Urban's nomination to the board of directors was recommended by the Nominating and Corporate Governance Committee of the board of directors.</w:t>
      </w:r>
    </w:p>
    <w:p>
      <w:pPr>
        <w:spacing w:after="0" w:line="156" w:lineRule="exact"/>
        <w:rPr>
          <w:sz w:val="20"/>
          <w:szCs w:val="20"/>
          <w:color w:val="auto"/>
        </w:rPr>
      </w:pPr>
    </w:p>
    <w:p>
      <w:pPr>
        <w:ind w:firstLine="298"/>
        <w:spacing w:after="0" w:line="260" w:lineRule="auto"/>
        <w:rPr>
          <w:sz w:val="20"/>
          <w:szCs w:val="20"/>
          <w:color w:val="auto"/>
        </w:rPr>
      </w:pPr>
      <w:r>
        <w:rPr>
          <w:rFonts w:ascii="Arial" w:cs="Arial" w:eastAsia="Arial" w:hAnsi="Arial"/>
          <w:sz w:val="15"/>
          <w:szCs w:val="15"/>
          <w:b w:val="1"/>
          <w:bCs w:val="1"/>
          <w:i w:val="1"/>
          <w:iCs w:val="1"/>
          <w:color w:val="auto"/>
        </w:rPr>
        <w:t xml:space="preserve">Michael T. Viola </w:t>
      </w:r>
      <w:r>
        <w:rPr>
          <w:rFonts w:ascii="Arial" w:cs="Arial" w:eastAsia="Arial" w:hAnsi="Arial"/>
          <w:sz w:val="15"/>
          <w:szCs w:val="15"/>
          <w:color w:val="auto"/>
        </w:rPr>
        <w:t>became a member of our board of directors in April 2016. Mr. Viola previously served the Company in a variety of roles since 2011, most recently as a senior trader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focused on foreign exchange products and global commodities. Mr. Viola currently serves as the President of the Viola family's private investment office, located in New York City. In addition, Mr. Viola is a member of the board of directors of Independent Bank Group, Inc., which he joined in February 2013. Mr. Viola also served on the board of a family-founded nonprofit organization focused on Catholic education initiatives in inner-city communities from 2010 to 2011. Mr. Viola's significant experience in electronic market making and his experience as the director of another public company adds significant value to our board of directors.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w:t>
      </w:r>
    </w:p>
    <w:p>
      <w:pPr>
        <w:spacing w:after="0" w:line="198" w:lineRule="exact"/>
        <w:rPr>
          <w:sz w:val="20"/>
          <w:szCs w:val="20"/>
          <w:color w:val="auto"/>
        </w:rPr>
      </w:pPr>
    </w:p>
    <w:p>
      <w:pPr>
        <w:ind w:right="40" w:firstLine="298"/>
        <w:spacing w:after="0" w:line="262" w:lineRule="auto"/>
        <w:rPr>
          <w:sz w:val="20"/>
          <w:szCs w:val="20"/>
          <w:color w:val="auto"/>
        </w:rPr>
      </w:pPr>
      <w:r>
        <w:rPr>
          <w:rFonts w:ascii="Arial" w:cs="Arial" w:eastAsia="Arial" w:hAnsi="Arial"/>
          <w:sz w:val="15"/>
          <w:szCs w:val="15"/>
          <w:b w:val="1"/>
          <w:bCs w:val="1"/>
          <w:i w:val="1"/>
          <w:iCs w:val="1"/>
          <w:color w:val="auto"/>
        </w:rPr>
        <w:t xml:space="preserve">Stephen Cavoli </w:t>
      </w:r>
      <w:r>
        <w:rPr>
          <w:rFonts w:ascii="Arial" w:cs="Arial" w:eastAsia="Arial" w:hAnsi="Arial"/>
          <w:sz w:val="15"/>
          <w:szCs w:val="15"/>
          <w:color w:val="auto"/>
        </w:rPr>
        <w:t>has been our Executive Vice President, Markets since December 2017, and previously served as our Senior Vice President, Strategy and Market Development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2015. Prior to joining Virtu, Mr. Cavoli was a Managing Director at Morgan Stanley in the electronic trading group, where he served in various roles from April 2004 to September 2015. Mr. Cavoli previously held positions at Instinet where he focused on U.S. equities trading and execution. Mr. Cavoli graduated from the U.S. Military Academy at West Point in 1992 and has served as an Infantry Officer in the United States Army.</w:t>
      </w:r>
    </w:p>
    <w:p>
      <w:pPr>
        <w:spacing w:after="0" w:line="162" w:lineRule="exact"/>
        <w:rPr>
          <w:sz w:val="20"/>
          <w:szCs w:val="20"/>
          <w:color w:val="auto"/>
        </w:rPr>
      </w:pPr>
    </w:p>
    <w:p>
      <w:pPr>
        <w:ind w:right="120" w:firstLine="298"/>
        <w:spacing w:after="0" w:line="314" w:lineRule="auto"/>
        <w:rPr>
          <w:sz w:val="20"/>
          <w:szCs w:val="20"/>
          <w:color w:val="auto"/>
        </w:rPr>
      </w:pPr>
      <w:r>
        <w:rPr>
          <w:rFonts w:ascii="Arial" w:cs="Arial" w:eastAsia="Arial" w:hAnsi="Arial"/>
          <w:sz w:val="13"/>
          <w:szCs w:val="13"/>
          <w:b w:val="1"/>
          <w:bCs w:val="1"/>
          <w:i w:val="1"/>
          <w:iCs w:val="1"/>
          <w:color w:val="auto"/>
        </w:rPr>
        <w:t xml:space="preserve">Joseph Molluso </w:t>
      </w:r>
      <w:r>
        <w:rPr>
          <w:rFonts w:ascii="Arial" w:cs="Arial" w:eastAsia="Arial" w:hAnsi="Arial"/>
          <w:sz w:val="13"/>
          <w:szCs w:val="13"/>
          <w:color w:val="auto"/>
        </w:rPr>
        <w:t>has been our Executive Vice President and Chief Financial Officer since November 2013. Prior to joining Virtu, Mr. Molluso was a Managing Director in Investment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Banking at J.P. Morgan from March 2006 to November 2013, where he provided strategic advice to financial institutions with a focus on market structure related companies. Mr. Molluso started his career as an investment banker specializing in financial services companies in 1997 at Donaldson, Lufkin &amp; Jenrette and its successor, Credit Suisse, where he helped establish the global financial technology group. Mr. Molluso received his M.B.A. from New York University in 1997 and his B.B.A. from Pace University in 1991.</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Composition</w:t>
      </w:r>
    </w:p>
    <w:p>
      <w:pPr>
        <w:spacing w:after="0" w:line="198" w:lineRule="exact"/>
        <w:rPr>
          <w:sz w:val="20"/>
          <w:szCs w:val="20"/>
          <w:color w:val="auto"/>
        </w:rPr>
      </w:pPr>
    </w:p>
    <w:p>
      <w:pPr>
        <w:ind w:right="40" w:firstLine="298"/>
        <w:spacing w:after="0" w:line="277" w:lineRule="auto"/>
        <w:rPr>
          <w:sz w:val="20"/>
          <w:szCs w:val="20"/>
          <w:color w:val="auto"/>
        </w:rPr>
      </w:pPr>
      <w:r>
        <w:rPr>
          <w:rFonts w:ascii="Arial" w:cs="Arial" w:eastAsia="Arial" w:hAnsi="Arial"/>
          <w:sz w:val="15"/>
          <w:szCs w:val="15"/>
          <w:color w:val="auto"/>
        </w:rPr>
        <w:t>Our board of directors consists of eleven directors. In accordance with our amended and restated certificate of incorporation and bylaws, the number of directors on our board of directors will be determined from time to time by the board of directors but shall not be less than three persons nor more than 20 persons.</w:t>
      </w:r>
    </w:p>
    <w:p>
      <w:pPr>
        <w:spacing w:after="0" w:line="151" w:lineRule="exact"/>
        <w:rPr>
          <w:sz w:val="20"/>
          <w:szCs w:val="20"/>
          <w:color w:val="auto"/>
        </w:rPr>
      </w:pPr>
    </w:p>
    <w:p>
      <w:pPr>
        <w:jc w:val="both"/>
        <w:ind w:right="60" w:firstLine="298"/>
        <w:spacing w:after="0" w:line="262" w:lineRule="auto"/>
        <w:rPr>
          <w:sz w:val="20"/>
          <w:szCs w:val="20"/>
          <w:color w:val="auto"/>
        </w:rPr>
      </w:pPr>
      <w:r>
        <w:rPr>
          <w:rFonts w:ascii="Arial" w:cs="Arial" w:eastAsia="Arial" w:hAnsi="Arial"/>
          <w:sz w:val="15"/>
          <w:szCs w:val="15"/>
          <w:color w:val="auto"/>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time at which the Founder Member or any of its affiliates or permitted transferees no longer beneficially own shares representing 25% of our issued and outstanding common stock (the "Triggering Event"), vacancies on the board of directors may also be filled by the affirmative vote of a majority of our outstanding shares of common stock.</w:t>
      </w:r>
    </w:p>
    <w:p>
      <w:pPr>
        <w:spacing w:after="0" w:line="162" w:lineRule="exact"/>
        <w:rPr>
          <w:sz w:val="20"/>
          <w:szCs w:val="20"/>
          <w:color w:val="auto"/>
        </w:rPr>
      </w:pPr>
    </w:p>
    <w:p>
      <w:pPr>
        <w:ind w:right="340" w:firstLine="298"/>
        <w:spacing w:after="0" w:line="265" w:lineRule="auto"/>
        <w:rPr>
          <w:sz w:val="20"/>
          <w:szCs w:val="20"/>
          <w:color w:val="auto"/>
        </w:rPr>
      </w:pPr>
      <w:r>
        <w:rPr>
          <w:rFonts w:ascii="Arial" w:cs="Arial" w:eastAsia="Arial" w:hAnsi="Arial"/>
          <w:sz w:val="15"/>
          <w:szCs w:val="15"/>
          <w:color w:val="auto"/>
        </w:rPr>
        <w:t>Until the Triggering Event occurs,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p>
    <w:p>
      <w:pPr>
        <w:spacing w:after="0" w:line="161" w:lineRule="exact"/>
        <w:rPr>
          <w:sz w:val="20"/>
          <w:szCs w:val="20"/>
          <w:color w:val="auto"/>
        </w:rPr>
      </w:pPr>
    </w:p>
    <w:p>
      <w:pPr>
        <w:ind w:right="120" w:firstLine="298"/>
        <w:spacing w:after="0" w:line="277" w:lineRule="auto"/>
        <w:rPr>
          <w:sz w:val="20"/>
          <w:szCs w:val="20"/>
          <w:color w:val="auto"/>
        </w:rPr>
      </w:pPr>
      <w:r>
        <w:rPr>
          <w:rFonts w:ascii="Arial" w:cs="Arial" w:eastAsia="Arial" w:hAnsi="Arial"/>
          <w:sz w:val="15"/>
          <w:szCs w:val="15"/>
          <w:color w:val="auto"/>
        </w:rPr>
        <w:t>Our amended and restated certificate of incorporation provides that the board of directors is divided into three classes of directors, with staggered three-year terms, with the classes to be as nearly equal in number as possible. As a result, approximately one-third of the board of directors will be elected each year.</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Controlled Company Status</w:t>
      </w:r>
    </w:p>
    <w:p>
      <w:pPr>
        <w:spacing w:after="0" w:line="198" w:lineRule="exact"/>
        <w:rPr>
          <w:sz w:val="20"/>
          <w:szCs w:val="20"/>
          <w:color w:val="auto"/>
        </w:rPr>
      </w:pPr>
    </w:p>
    <w:p>
      <w:pPr>
        <w:ind w:firstLine="289"/>
        <w:spacing w:after="0" w:line="260" w:lineRule="auto"/>
        <w:rPr>
          <w:sz w:val="20"/>
          <w:szCs w:val="20"/>
          <w:color w:val="auto"/>
        </w:rPr>
      </w:pPr>
      <w:r>
        <w:rPr>
          <w:rFonts w:ascii="Arial" w:cs="Arial" w:eastAsia="Arial" w:hAnsi="Arial"/>
          <w:sz w:val="15"/>
          <w:szCs w:val="15"/>
          <w:color w:val="auto"/>
        </w:rPr>
        <w:t>As the Founder Member currently controls more than 50% of our combined voting power, we are considered a "controlled company" for the purposes of NASDAQ rules and corporate governance standards. As a "controlled company," we are permitted and have elected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composed entirely of independent directors, or otherwise ensure that the compensation of our executive officers and nominees for directors are determined or recommended to the board of directors by the independent members of the board of directors.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Independence</w:t>
      </w:r>
    </w:p>
    <w:p>
      <w:pPr>
        <w:spacing w:after="0" w:line="198" w:lineRule="exact"/>
        <w:rPr>
          <w:sz w:val="20"/>
          <w:szCs w:val="20"/>
          <w:color w:val="auto"/>
        </w:rPr>
      </w:pPr>
    </w:p>
    <w:p>
      <w:pPr>
        <w:ind w:right="120" w:firstLine="298"/>
        <w:spacing w:after="0" w:line="277" w:lineRule="auto"/>
        <w:rPr>
          <w:sz w:val="20"/>
          <w:szCs w:val="20"/>
          <w:color w:val="auto"/>
        </w:rPr>
      </w:pPr>
      <w:r>
        <w:rPr>
          <w:rFonts w:ascii="Arial" w:cs="Arial" w:eastAsia="Arial" w:hAnsi="Arial"/>
          <w:sz w:val="15"/>
          <w:szCs w:val="15"/>
          <w:color w:val="auto"/>
        </w:rPr>
        <w:t>Our board of directors has determined that Messrs. Cruger, Grano, Greifeld, Hutchins, Nixon, Quick, Sandner and Urban are each "independent directors", and that Gen. Abizaid was an "independent director", as such term is defined by the applicable rules and regulations of NASDAQ.</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Family Relationships of Directors and Executive Officers</w:t>
      </w:r>
    </w:p>
    <w:p>
      <w:pPr>
        <w:spacing w:after="0" w:line="198"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Other than Michael T. Viola, who is the son of Vincent Viola, our founder and Chairman Emeritus, none of the current directors or officers, or nominees for director, is related to any other officer or director of the Company or to any nominee for director.</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 Leadership Structure</w:t>
      </w:r>
    </w:p>
    <w:p>
      <w:pPr>
        <w:spacing w:after="0" w:line="198"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We currently separate the roles of chairman of the board of directors and chief executive officer. Mr. Greifeld serves as chairman of our board of directors. This structure enables the board of directors to effectively exercise its role in oversight of Virtu while allowing our Chief Executive Officer to focus on the management of the day-to-day conduct of our business. The board may review and change its leadership structure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 Role in Risk Oversight</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It is the duty of our board of directors to serve as a prudent fiduciary for stockholders and to oversee the management of our Company.</w:t>
      </w:r>
    </w:p>
    <w:p>
      <w:pPr>
        <w:spacing w:after="0" w:line="194" w:lineRule="exact"/>
        <w:rPr>
          <w:sz w:val="20"/>
          <w:szCs w:val="20"/>
          <w:color w:val="auto"/>
        </w:rPr>
      </w:pPr>
    </w:p>
    <w:p>
      <w:pPr>
        <w:ind w:right="80" w:firstLine="298"/>
        <w:spacing w:after="0" w:line="265" w:lineRule="auto"/>
        <w:rPr>
          <w:sz w:val="20"/>
          <w:szCs w:val="20"/>
          <w:color w:val="auto"/>
        </w:rPr>
      </w:pPr>
      <w:r>
        <w:rPr>
          <w:rFonts w:ascii="Arial" w:cs="Arial" w:eastAsia="Arial" w:hAnsi="Arial"/>
          <w:sz w:val="15"/>
          <w:szCs w:val="15"/>
          <w:color w:val="auto"/>
        </w:rPr>
        <w:t>Our Risk Committee, under powers delegated to it by our board of directors, is responsible for overseeing areas of risk that are not the primary responsibility of another committee of our board of directors or retained for oversight of the full board, including (i) cybersecurity, information security and information technology risk, (ii) trading, capital and liquidity risk and (iii) enterprise risk.</w:t>
      </w:r>
    </w:p>
    <w:p>
      <w:pPr>
        <w:spacing w:after="0" w:line="161" w:lineRule="exact"/>
        <w:rPr>
          <w:sz w:val="20"/>
          <w:szCs w:val="20"/>
          <w:color w:val="auto"/>
        </w:rPr>
      </w:pPr>
    </w:p>
    <w:p>
      <w:pPr>
        <w:ind w:right="120" w:firstLine="298"/>
        <w:spacing w:after="0" w:line="281" w:lineRule="auto"/>
        <w:rPr>
          <w:sz w:val="20"/>
          <w:szCs w:val="20"/>
          <w:color w:val="auto"/>
        </w:rPr>
      </w:pPr>
      <w:r>
        <w:rPr>
          <w:rFonts w:ascii="Arial" w:cs="Arial" w:eastAsia="Arial" w:hAnsi="Arial"/>
          <w:sz w:val="14"/>
          <w:szCs w:val="14"/>
          <w:color w:val="auto"/>
        </w:rPr>
        <w:t>Our Audit Committee, under powers delegated to it by our board of directors, is also responsible for discussing with management the major financial, legal, compliance and other significant risks. Our Audit Committee works directly with members of senior management and our internal audit team to review and assess (i) the adequacy of the Company's internal controls, including significant deficiencies in the design or operation of internal controls that could adversely affect the Company's ability to record, process, summarize and report financial data, and management's response and (ii) any fraud, whether or not material, that involves management or other employees who have a significant role in the Company's internal control over financial reporting. In addition, the Audit Committee meets as appropriate (i) as a committee to discuss our risk management policies and exposures and (ii) with our independent auditors to review our internal control environment and potential significant risk exposures.</w:t>
      </w:r>
    </w:p>
    <w:p>
      <w:pPr>
        <w:spacing w:after="0" w:line="151" w:lineRule="exact"/>
        <w:rPr>
          <w:sz w:val="20"/>
          <w:szCs w:val="20"/>
          <w:color w:val="auto"/>
        </w:rPr>
      </w:pPr>
    </w:p>
    <w:p>
      <w:pPr>
        <w:ind w:right="160" w:firstLine="298"/>
        <w:spacing w:after="0" w:line="265" w:lineRule="auto"/>
        <w:rPr>
          <w:sz w:val="20"/>
          <w:szCs w:val="20"/>
          <w:color w:val="auto"/>
        </w:rPr>
      </w:pPr>
      <w:r>
        <w:rPr>
          <w:rFonts w:ascii="Arial" w:cs="Arial" w:eastAsia="Arial" w:hAnsi="Arial"/>
          <w:sz w:val="15"/>
          <w:szCs w:val="15"/>
          <w:color w:val="auto"/>
        </w:rPr>
        <w:t>Our Compensation Committee oversees the management of risks relating to our executive compensation programs and employee benefit plans. In fulfilling its duties, the Compensation Committee reviews at least annually our executive compensation programs, meets regularly with management to understand the financial, human resources and stockholder implications of compensation decisions and reports as appropriate to our board of directors.</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Nominating and Corporate Governance Committee oversees the management of risks relating to our corporate governance structure and director selection process.</w:t>
      </w:r>
    </w:p>
    <w:p>
      <w:pPr>
        <w:spacing w:after="0" w:line="205" w:lineRule="exact"/>
        <w:rPr>
          <w:sz w:val="20"/>
          <w:szCs w:val="20"/>
          <w:color w:val="auto"/>
        </w:rPr>
      </w:pPr>
    </w:p>
    <w:p>
      <w:pPr>
        <w:ind w:right="100" w:firstLine="298"/>
        <w:spacing w:after="0" w:line="265" w:lineRule="auto"/>
        <w:rPr>
          <w:sz w:val="20"/>
          <w:szCs w:val="20"/>
          <w:color w:val="auto"/>
        </w:rPr>
      </w:pPr>
      <w:r>
        <w:rPr>
          <w:rFonts w:ascii="Arial" w:cs="Arial" w:eastAsia="Arial" w:hAnsi="Arial"/>
          <w:sz w:val="15"/>
          <w:szCs w:val="15"/>
          <w:color w:val="auto"/>
        </w:rPr>
        <w:t>Our board of directors as a whole also engages in the oversight of risk in various ways. It sets goals and standards for our employees, officers and directors. During the course of each year, our board of directors reviews the structure and operation of various of our departments and functions. In these reviews, our board of directors discusses with management material risks affecting those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departments and functions and management's approach to mitigating those risks. Our board of directors also reviews and approves management's operating plans and any risks that could affect the results of those operating plans. In its review and approval of Annual Reports on Form 10-K (including any amendments thereto), our board of directors reviews our business and related risks, including as described in the "Business," "Risk Factors" and "Management's Discussion and Analysis of Financial Condition and Results of Operations" sections of the reports. The Audit Committee reviews these risks quarterly in connection with the preparation of Quarterly Reports on Form 10-Q.</w:t>
      </w:r>
    </w:p>
    <w:p>
      <w:pPr>
        <w:spacing w:after="0" w:line="148" w:lineRule="exact"/>
        <w:rPr>
          <w:sz w:val="20"/>
          <w:szCs w:val="20"/>
          <w:color w:val="auto"/>
        </w:rPr>
      </w:pPr>
    </w:p>
    <w:p>
      <w:pPr>
        <w:ind w:right="140" w:firstLine="295"/>
        <w:spacing w:after="0" w:line="262" w:lineRule="auto"/>
        <w:rPr>
          <w:sz w:val="20"/>
          <w:szCs w:val="20"/>
          <w:color w:val="auto"/>
        </w:rPr>
      </w:pPr>
      <w:r>
        <w:rPr>
          <w:rFonts w:ascii="Arial" w:cs="Arial" w:eastAsia="Arial" w:hAnsi="Arial"/>
          <w:sz w:val="15"/>
          <w:szCs w:val="15"/>
          <w:color w:val="auto"/>
        </w:rPr>
        <w:t>When our board of directors reviews particular transactions and initiatives that require its approval, or that otherwise merit its involvement, it generally includes related analysis and risk mitigation plans among the matters addressed with senior management. The day-to-day identification and management of risk is the responsibility of our management. As the market environment, industry practices, regulatory requirements and our business evolve, we expect that senior management and our board of directors will respond with appropriate risk mitigation strategies and oversight.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and Committee Meetings; Annual Meeting Attendance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During the year ended December 31, 2018:</w:t>
      </w:r>
    </w:p>
    <w:p>
      <w:pPr>
        <w:spacing w:after="0" w:line="205" w:lineRule="exact"/>
        <w:rPr>
          <w:sz w:val="20"/>
          <w:szCs w:val="20"/>
          <w:color w:val="auto"/>
        </w:rPr>
      </w:pPr>
    </w:p>
    <w:p>
      <w:pPr>
        <w:ind w:left="900" w:hanging="451"/>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board of directors held seven meetings and acted by written consent seven times;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Audit Committee held nine meetings and acted by written consent two times;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Risk Committee held five meetings and did not act by written consent;</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Nominating and Corporate Governance Committee held one meeting and did not act by written consent;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Compensation Committee held four meetings and acted by written consent one time.</w:t>
      </w:r>
    </w:p>
    <w:p>
      <w:pPr>
        <w:spacing w:after="0" w:line="194" w:lineRule="exact"/>
        <w:rPr>
          <w:sz w:val="20"/>
          <w:szCs w:val="20"/>
          <w:color w:val="auto"/>
        </w:rPr>
      </w:pPr>
    </w:p>
    <w:p>
      <w:pPr>
        <w:ind w:right="220" w:firstLine="298"/>
        <w:spacing w:after="0" w:line="314" w:lineRule="auto"/>
        <w:rPr>
          <w:sz w:val="20"/>
          <w:szCs w:val="20"/>
          <w:color w:val="auto"/>
        </w:rPr>
      </w:pPr>
      <w:r>
        <w:rPr>
          <w:rFonts w:ascii="Arial" w:cs="Arial" w:eastAsia="Arial" w:hAnsi="Arial"/>
          <w:sz w:val="13"/>
          <w:szCs w:val="13"/>
          <w:color w:val="auto"/>
        </w:rPr>
        <w:t>In the year ended December 31, 2018, no member of our board of directors attended fewer than 75% of the aggregate of: (i) the total number of meetings of the board of directors (held during the period for which he or she has been a director) and (ii) the number of meetings held by all committees of the board of directors (during the periods that he or she served on such committees), except that Gen. Abizaid, who retired from our board of directors effective January 18, 2019, attended approximately 67% of such meetings during the period. For additional information regarding Gen. Abizaid's retirement, please see the Current Report on Form 8-K filed by the Company with the SEC on January 18, 2019.</w:t>
      </w:r>
    </w:p>
    <w:p>
      <w:pPr>
        <w:spacing w:after="0" w:line="133" w:lineRule="exact"/>
        <w:rPr>
          <w:sz w:val="20"/>
          <w:szCs w:val="20"/>
          <w:color w:val="auto"/>
        </w:rPr>
      </w:pPr>
    </w:p>
    <w:p>
      <w:pPr>
        <w:ind w:firstLine="289"/>
        <w:spacing w:after="0" w:line="309" w:lineRule="auto"/>
        <w:rPr>
          <w:sz w:val="20"/>
          <w:szCs w:val="20"/>
          <w:color w:val="auto"/>
        </w:rPr>
      </w:pPr>
      <w:r>
        <w:rPr>
          <w:rFonts w:ascii="Arial" w:cs="Arial" w:eastAsia="Arial" w:hAnsi="Arial"/>
          <w:sz w:val="13"/>
          <w:szCs w:val="13"/>
          <w:color w:val="auto"/>
        </w:rPr>
        <w:t>According to our Corporate Governance Guidelines, our directors are expected to attend the annual meeting of stockholders, meetings of the board of directors and meetings of committees on which they serve and to spend the time needed, and meet as frequently as necessary, to properly discharge their responsibilities. Four of our directors attended our 2018 annual meeting of stockholders. Directors are expected to review meeting materials prior to board of director and committee meetings and, when possible, should communicate in advance of meetings any questions or concerns that they wish to discuss so that management will be prepared to address the same. Each director's attendance at, and preparation for, board of director meetings and meetings of committees on which they serve shall be considered by the Nominating and Corporate Governance Committee when recommending director nominees.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198" w:lineRule="exact"/>
        <w:rPr>
          <w:sz w:val="20"/>
          <w:szCs w:val="20"/>
          <w:color w:val="auto"/>
        </w:rPr>
      </w:pPr>
    </w:p>
    <w:p>
      <w:pPr>
        <w:ind w:right="60" w:firstLine="298"/>
        <w:spacing w:after="0" w:line="265" w:lineRule="auto"/>
        <w:rPr>
          <w:sz w:val="20"/>
          <w:szCs w:val="20"/>
          <w:color w:val="auto"/>
        </w:rPr>
      </w:pPr>
      <w:r>
        <w:rPr>
          <w:rFonts w:ascii="Arial" w:cs="Arial" w:eastAsia="Arial" w:hAnsi="Arial"/>
          <w:sz w:val="15"/>
          <w:szCs w:val="15"/>
          <w:color w:val="auto"/>
        </w:rPr>
        <w:t>Our board of directors has four standing committees: the Audit Committee, the Compensation Committee, the Nominating and Corporate Governance Committee and the Risk Committee. Under the rules of NASDAQ, the membership of the Audit Committee is required to consist entirely of independent directors. As a controlled company (see "Controlled Company Status" on page 11 of this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proxy statement), we are not required to have fully independent Compensation and Nominating and Corporate Governance Committees. The following is a brief description of our committees.</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Audit Committee</w:t>
      </w:r>
    </w:p>
    <w:p>
      <w:pPr>
        <w:spacing w:after="0" w:line="194" w:lineRule="exact"/>
        <w:rPr>
          <w:sz w:val="20"/>
          <w:szCs w:val="20"/>
          <w:color w:val="auto"/>
        </w:rPr>
      </w:pPr>
    </w:p>
    <w:p>
      <w:pPr>
        <w:ind w:right="160" w:firstLine="295"/>
        <w:spacing w:after="0" w:line="306" w:lineRule="auto"/>
        <w:rPr>
          <w:sz w:val="20"/>
          <w:szCs w:val="20"/>
          <w:color w:val="auto"/>
        </w:rPr>
      </w:pPr>
      <w:r>
        <w:rPr>
          <w:rFonts w:ascii="Arial" w:cs="Arial" w:eastAsia="Arial" w:hAnsi="Arial"/>
          <w:sz w:val="13"/>
          <w:szCs w:val="13"/>
          <w:color w:val="auto"/>
        </w:rPr>
        <w:t>We have a separately designated standing Audit Committee established in accordance with section 3(a)(58)(A) of the United States Securities Exchange Act of 1934, as amended (the "Exchange Act"). Our Audit Committee assists the board of directors in monitoring the audit of our financial statements, our independent auditors' qualifications and independence, the performance of our audit function and independent auditors and our compliance with legal and regulatory requirements. Our Audit Committee has direct responsibility for the appointment, compensation, retention (including termination) and oversight of our independent auditors, and our independent auditors report directly to the Audit Committee. Our Audit Committee also reviews and approves related party transactions as required by the rules of NASDAQ. Our board of directors has adopted a written charter for the Audit Committee, which is available on our corporate website at http://ir.virtu.com/corporate-governance/default.aspx. The information on our website is not part of this proxy statement.</w:t>
      </w:r>
    </w:p>
    <w:p>
      <w:pPr>
        <w:spacing w:after="0" w:line="138" w:lineRule="exact"/>
        <w:rPr>
          <w:sz w:val="20"/>
          <w:szCs w:val="20"/>
          <w:color w:val="auto"/>
        </w:rPr>
      </w:pPr>
    </w:p>
    <w:p>
      <w:pPr>
        <w:ind w:firstLine="298"/>
        <w:spacing w:after="0" w:line="286" w:lineRule="auto"/>
        <w:rPr>
          <w:sz w:val="20"/>
          <w:szCs w:val="20"/>
          <w:color w:val="auto"/>
        </w:rPr>
      </w:pPr>
      <w:r>
        <w:rPr>
          <w:rFonts w:ascii="Arial" w:cs="Arial" w:eastAsia="Arial" w:hAnsi="Arial"/>
          <w:sz w:val="14"/>
          <w:szCs w:val="14"/>
          <w:color w:val="auto"/>
        </w:rPr>
        <w:t>Messrs. Cruger, Quick, Sandner and Grano are the members of our Audit Committee. The board of directors has determined that Mr. Cruger qualifies as an "audit committee financial expert" as such term is defined in Item 407(d)(5)(ii) of Regulation S-K under the Securities Act of 1933, as amended (the "Securities Act") and that each of Messrs. Cruger, Quick, Sandner and Grano is "independent" for purposes of Rule 10A-3 of the Exchange Act and under the listing standards of NASDAQ. The designation of "audit committee financial expert" does not impose on Mr. Cruger any duties, obligations or liabilities that are greater than are generally imposed on members of our Audit Committee and our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94" w:lineRule="exact"/>
        <w:rPr>
          <w:sz w:val="20"/>
          <w:szCs w:val="20"/>
          <w:color w:val="auto"/>
        </w:rPr>
      </w:pPr>
    </w:p>
    <w:p>
      <w:pPr>
        <w:ind w:right="80" w:firstLine="298"/>
        <w:spacing w:after="0" w:line="304" w:lineRule="auto"/>
        <w:rPr>
          <w:sz w:val="20"/>
          <w:szCs w:val="20"/>
          <w:color w:val="auto"/>
        </w:rPr>
      </w:pPr>
      <w:r>
        <w:rPr>
          <w:rFonts w:ascii="Arial" w:cs="Arial" w:eastAsia="Arial" w:hAnsi="Arial"/>
          <w:sz w:val="13"/>
          <w:szCs w:val="13"/>
          <w:color w:val="auto"/>
        </w:rPr>
        <w:t>Our Compensation Committee reviews and recommends policies relating to compensation and benefits of our directors and employees and is responsible for approving the compensation of our Chief Executive Officer and other executive officers. Our Chief Executive Officer annually reviews the performance of each of the other executive officers relative to individual and corporate annual performance goals established for the year. The Chief Executive Officer then presents his compensation recommendations based on these reviews to the Compensation Committee. Once the Compensation Committee has reviewed and evaluated executive performance, recommendations are made to the board of directors for approval. The board of directors subsequently approved 2018 director and executive compensation arrangements based on the Compensation Committee's recommendations, the recommendations of the Compensation Committee's compensation consultant (described below) and the collective judgment of the board's members. Our board of directors has adopted a written charter for the Compensation Committee, which is available on our corporate website at http://ir.virtu.com/corporate-governance/default.aspx. The information on our website is not part of this proxy statement.</w:t>
      </w:r>
    </w:p>
    <w:p>
      <w:pPr>
        <w:spacing w:after="0" w:line="139" w:lineRule="exact"/>
        <w:rPr>
          <w:sz w:val="20"/>
          <w:szCs w:val="20"/>
          <w:color w:val="auto"/>
        </w:rPr>
      </w:pPr>
    </w:p>
    <w:p>
      <w:pPr>
        <w:ind w:firstLine="298"/>
        <w:spacing w:after="0" w:line="283" w:lineRule="auto"/>
        <w:rPr>
          <w:sz w:val="20"/>
          <w:szCs w:val="20"/>
          <w:color w:val="auto"/>
        </w:rPr>
      </w:pPr>
      <w:r>
        <w:rPr>
          <w:rFonts w:ascii="Arial" w:cs="Arial" w:eastAsia="Arial" w:hAnsi="Arial"/>
          <w:sz w:val="14"/>
          <w:szCs w:val="14"/>
          <w:color w:val="auto"/>
        </w:rPr>
        <w:t>Pursuant to the written charter of the Compensation Committee, the Compensation Committee may form and delegate authority to subcommittees when appropriate, provided that the subcommittees are composed entirely of directors who satisfy the applicable independence requirements of the Company's corporate governance guidelines and the rules and regulations of NASDAQ, including any applicable "controlled company" exemption. Additionally, pursuant to its written charter, the Compensation Committee has the sole authority to retain and terminate a compensation consultant and to approve the consultant's fees and all other terms of the engagement. In 2017 and 2018, at the recommendation of the Company's management, the Compensation Committee engaged F.W. Cook as its independent compensation consultant to determine and recommend the amount and form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compensation for the Company's Chief Executive Officer and Chief Financial Officer, evaluating and making recommendations with respect to the remuneration of the members of our board of directors and the Company's Chief Executive Officer.</w:t>
      </w:r>
    </w:p>
    <w:p>
      <w:pPr>
        <w:spacing w:after="0" w:line="151" w:lineRule="exact"/>
        <w:rPr>
          <w:sz w:val="20"/>
          <w:szCs w:val="20"/>
          <w:color w:val="auto"/>
        </w:rPr>
      </w:pPr>
    </w:p>
    <w:p>
      <w:pPr>
        <w:ind w:right="460" w:firstLine="298"/>
        <w:spacing w:after="0" w:line="277" w:lineRule="auto"/>
        <w:rPr>
          <w:sz w:val="20"/>
          <w:szCs w:val="20"/>
          <w:color w:val="auto"/>
        </w:rPr>
      </w:pPr>
      <w:r>
        <w:rPr>
          <w:rFonts w:ascii="Arial" w:cs="Arial" w:eastAsia="Arial" w:hAnsi="Arial"/>
          <w:sz w:val="15"/>
          <w:szCs w:val="15"/>
          <w:color w:val="auto"/>
        </w:rPr>
        <w:t>Our Compensation Committee also administers the issuance of awards under the Virtu Financial, Inc. 2015 Management Incentive Plan and the Virtu Financial, Inc. Amended and Restated 2015 Management Incentive Plan (collectively, the "2015 Plan").</w:t>
      </w:r>
    </w:p>
    <w:p>
      <w:pPr>
        <w:spacing w:after="0" w:line="151" w:lineRule="exact"/>
        <w:rPr>
          <w:sz w:val="20"/>
          <w:szCs w:val="20"/>
          <w:color w:val="auto"/>
        </w:rPr>
      </w:pPr>
    </w:p>
    <w:p>
      <w:pPr>
        <w:ind w:right="60" w:firstLine="298"/>
        <w:spacing w:after="0" w:line="293" w:lineRule="auto"/>
        <w:rPr>
          <w:sz w:val="20"/>
          <w:szCs w:val="20"/>
          <w:color w:val="auto"/>
        </w:rPr>
      </w:pPr>
      <w:r>
        <w:rPr>
          <w:rFonts w:ascii="Arial" w:cs="Arial" w:eastAsia="Arial" w:hAnsi="Arial"/>
          <w:sz w:val="14"/>
          <w:szCs w:val="14"/>
          <w:color w:val="auto"/>
        </w:rPr>
        <w:t>Messrs. Nixon, Sandner and Greifeld are the members of our Compensation Committee. Because we are a "controlled company" under the rules of NASDAQ (see "Controlled Company Status" on page 11 of this proxy statement), our Compensation Committee is not required to be fully independent, although if such rules change in the future or we no longer meet the definition of a controlled company under the current rules, we will adjust the composition of the Compensation Committee accordingly in order to comply with such rules.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94" w:lineRule="exact"/>
        <w:rPr>
          <w:sz w:val="20"/>
          <w:szCs w:val="20"/>
          <w:color w:val="auto"/>
        </w:rPr>
      </w:pPr>
    </w:p>
    <w:p>
      <w:pPr>
        <w:ind w:right="160" w:firstLine="298"/>
        <w:spacing w:after="0" w:line="283" w:lineRule="auto"/>
        <w:rPr>
          <w:sz w:val="20"/>
          <w:szCs w:val="20"/>
          <w:color w:val="auto"/>
        </w:rPr>
      </w:pPr>
      <w:r>
        <w:rPr>
          <w:rFonts w:ascii="Arial" w:cs="Arial" w:eastAsia="Arial" w:hAnsi="Arial"/>
          <w:sz w:val="14"/>
          <w:szCs w:val="14"/>
          <w:color w:val="auto"/>
        </w:rPr>
        <w:t>Our Nominating and Corporate Governance Committee selects or recommends that the board of directors select candidates for election to our board of directors, develops and recommends to the board of directors corporate governance guidelines that are applicable to us and oversees board of director and management evaluations. In addition, our Nominating and Corporate Governance Committee recommends to our board of directors for approval director nominees, consistent with our director qualifications criteria and any obligations under certain contractual arrangements. Our board of directors has adopted a written charter for the Nominating and Corporate Governance Committee, which is available on our corporate website at http://ir.virtu.com/corporate-governance/default.aspx. The information on our website is not part of this proxy statement.</w:t>
      </w:r>
    </w:p>
    <w:p>
      <w:pPr>
        <w:spacing w:after="0" w:line="150" w:lineRule="exact"/>
        <w:rPr>
          <w:sz w:val="20"/>
          <w:szCs w:val="20"/>
          <w:color w:val="auto"/>
        </w:rPr>
      </w:pPr>
    </w:p>
    <w:p>
      <w:pPr>
        <w:ind w:firstLine="298"/>
        <w:spacing w:after="0" w:line="262" w:lineRule="auto"/>
        <w:rPr>
          <w:sz w:val="20"/>
          <w:szCs w:val="20"/>
          <w:color w:val="auto"/>
        </w:rPr>
      </w:pPr>
      <w:r>
        <w:rPr>
          <w:rFonts w:ascii="Arial" w:cs="Arial" w:eastAsia="Arial" w:hAnsi="Arial"/>
          <w:sz w:val="15"/>
          <w:szCs w:val="15"/>
          <w:color w:val="auto"/>
        </w:rPr>
        <w:t>Messrs. Greifeld and Vincent Viola are the members of our Nominating and Corporate Governance Committee. Because we are a "controlled company" under the rules of NASDAQ (see "Controlled Company Status" on page 11 of this proxy statement),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 Mr. Vincent Viola is not independent.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Regarding Director Nominations</w:t>
      </w:r>
    </w:p>
    <w:p>
      <w:pPr>
        <w:spacing w:after="0" w:line="198" w:lineRule="exact"/>
        <w:rPr>
          <w:sz w:val="20"/>
          <w:szCs w:val="20"/>
          <w:color w:val="auto"/>
        </w:rPr>
      </w:pPr>
    </w:p>
    <w:p>
      <w:pPr>
        <w:ind w:firstLine="298"/>
        <w:spacing w:after="0" w:line="259" w:lineRule="auto"/>
        <w:rPr>
          <w:sz w:val="20"/>
          <w:szCs w:val="20"/>
          <w:color w:val="auto"/>
        </w:rPr>
      </w:pPr>
      <w:r>
        <w:rPr>
          <w:rFonts w:ascii="Arial" w:cs="Arial" w:eastAsia="Arial" w:hAnsi="Arial"/>
          <w:sz w:val="15"/>
          <w:szCs w:val="15"/>
          <w:color w:val="auto"/>
        </w:rPr>
        <w:t>Our Nominating and Corporate Governance Committee utilizes a broad approach for identification of director nominees and may seek recommendations from our directors, officers or stockholders and/or engage a search firm. In evaluating and determining whether to ultimately recommend a person as a candidate for election as a director, the Nominating and Corporate Governance Committee evaluates all factors that it deems appropriate, including the number of current directors, as well as the qualifications set forth in our Corporate Governance Guidelines, including the highest personal and professional ethics, integrity, high performance standards and history of achievements, and ability to provide wise and thoughtful counsel on a broad range of issues. It also takes into account specific characteristics and expertise that it believes will enhance the diversity of knowledge, expertise, background and personal characteristics of our board of directors.</w:t>
      </w:r>
    </w:p>
    <w:p>
      <w:pPr>
        <w:spacing w:after="0" w:line="165" w:lineRule="exact"/>
        <w:rPr>
          <w:sz w:val="20"/>
          <w:szCs w:val="20"/>
          <w:color w:val="auto"/>
        </w:rPr>
      </w:pPr>
    </w:p>
    <w:p>
      <w:pPr>
        <w:ind w:firstLine="295"/>
        <w:spacing w:after="0" w:line="262" w:lineRule="auto"/>
        <w:rPr>
          <w:sz w:val="20"/>
          <w:szCs w:val="20"/>
          <w:color w:val="auto"/>
        </w:rPr>
      </w:pPr>
      <w:r>
        <w:rPr>
          <w:rFonts w:ascii="Arial" w:cs="Arial" w:eastAsia="Arial" w:hAnsi="Arial"/>
          <w:sz w:val="15"/>
          <w:szCs w:val="15"/>
          <w:color w:val="auto"/>
        </w:rPr>
        <w:t>The Nominating and Corporate Governance Committee may engage a third party to conduct or assist with this evaluation. Ultimately, the Nominating and Corporate Governance Committee seeks to recommend to the board of directors those nominees whose specific qualities, experience and expertise will augment the current board of directors' composition and whose past experience evidences that they will: (1) dedicate sufficient time, energy and attention to ensure the diligent performance of board duties; (2) comply with the duties and responsibilities set forth in our Corporate Governance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600"/>
        <w:spacing w:after="0" w:line="277" w:lineRule="auto"/>
        <w:rPr>
          <w:sz w:val="20"/>
          <w:szCs w:val="20"/>
          <w:color w:val="auto"/>
        </w:rPr>
      </w:pPr>
      <w:r>
        <w:rPr>
          <w:rFonts w:ascii="Arial" w:cs="Arial" w:eastAsia="Arial" w:hAnsi="Arial"/>
          <w:sz w:val="15"/>
          <w:szCs w:val="15"/>
          <w:color w:val="auto"/>
        </w:rPr>
        <w:t>Guidelines and in our bylaws; (3) comply with all duties of care, loyalty and confidentiality applicable to them as directors of publicly traded corporations organized in Delaware; and (4) adhere to our Code of Conduct and Ethics.</w:t>
      </w:r>
    </w:p>
    <w:p>
      <w:pPr>
        <w:spacing w:after="0" w:line="151" w:lineRule="exact"/>
        <w:rPr>
          <w:sz w:val="20"/>
          <w:szCs w:val="20"/>
          <w:color w:val="auto"/>
        </w:rPr>
      </w:pPr>
    </w:p>
    <w:p>
      <w:pPr>
        <w:ind w:right="380" w:firstLine="298"/>
        <w:spacing w:after="0" w:line="277" w:lineRule="auto"/>
        <w:rPr>
          <w:sz w:val="20"/>
          <w:szCs w:val="20"/>
          <w:color w:val="auto"/>
        </w:rPr>
      </w:pPr>
      <w:r>
        <w:rPr>
          <w:rFonts w:ascii="Arial" w:cs="Arial" w:eastAsia="Arial" w:hAnsi="Arial"/>
          <w:sz w:val="15"/>
          <w:szCs w:val="15"/>
          <w:color w:val="auto"/>
        </w:rPr>
        <w:t>In its discretion, the Nominating and Corporate Governance Committee will also consider recommendations of qualified nominees by stockholders by evaluating the same factors as described above.</w:t>
      </w:r>
    </w:p>
    <w:p>
      <w:pPr>
        <w:spacing w:after="0" w:line="151" w:lineRule="exact"/>
        <w:rPr>
          <w:sz w:val="20"/>
          <w:szCs w:val="20"/>
          <w:color w:val="auto"/>
        </w:rPr>
      </w:pPr>
    </w:p>
    <w:p>
      <w:pPr>
        <w:ind w:right="400" w:firstLine="298"/>
        <w:spacing w:after="0" w:line="265" w:lineRule="auto"/>
        <w:rPr>
          <w:sz w:val="20"/>
          <w:szCs w:val="20"/>
          <w:color w:val="auto"/>
        </w:rPr>
      </w:pPr>
      <w:r>
        <w:rPr>
          <w:rFonts w:ascii="Arial" w:cs="Arial" w:eastAsia="Arial" w:hAnsi="Arial"/>
          <w:sz w:val="15"/>
          <w:szCs w:val="15"/>
          <w:color w:val="auto"/>
        </w:rPr>
        <w:t>In addition to the board process described above, our bylaws permit stockholders to nominate directors for election at an annual meeting of stockholders. To nominate a director, the stockholder must meet certain deadlines established by our by-laws and provide certain information required by our bylaws. For a description of the process for nominating directors in accordance with our bylaws, see "Additional Information" on page 50 of this proxy statement.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 Committee</w:t>
      </w:r>
    </w:p>
    <w:p>
      <w:pPr>
        <w:spacing w:after="0" w:line="194" w:lineRule="exact"/>
        <w:rPr>
          <w:sz w:val="20"/>
          <w:szCs w:val="20"/>
          <w:color w:val="auto"/>
        </w:rPr>
      </w:pPr>
    </w:p>
    <w:p>
      <w:pPr>
        <w:ind w:right="40" w:firstLine="298"/>
        <w:spacing w:after="0" w:line="260" w:lineRule="auto"/>
        <w:rPr>
          <w:sz w:val="20"/>
          <w:szCs w:val="20"/>
          <w:color w:val="auto"/>
        </w:rPr>
      </w:pPr>
      <w:r>
        <w:rPr>
          <w:rFonts w:ascii="Arial" w:cs="Arial" w:eastAsia="Arial" w:hAnsi="Arial"/>
          <w:sz w:val="15"/>
          <w:szCs w:val="15"/>
          <w:color w:val="auto"/>
        </w:rPr>
        <w:t>Our Risk Committee was established in 2017 and assists our board of directors in its oversight of the Company's risk management activities, with particular focus on (i) cybersecurity, information security and information technology risk, (ii) trading, capital and liquidity risk and (iii) enterprise risk. Our Risk Committee also oversees and receives reports from the Company's Chief Risk Officer on the Company's risk assessment and risk management activities and may conduct or oversee stress testing or scenario testing. Our board of directors has adopted a written charter for the Risk Committee, which is available on our corporate website at http://ir.virtu.com/corporate-governance/default.aspx. The information on our website is not part of this proxy statement.</w:t>
      </w:r>
    </w:p>
    <w:p>
      <w:pPr>
        <w:spacing w:after="0" w:line="164" w:lineRule="exact"/>
        <w:rPr>
          <w:sz w:val="20"/>
          <w:szCs w:val="20"/>
          <w:color w:val="auto"/>
        </w:rPr>
      </w:pPr>
    </w:p>
    <w:p>
      <w:pPr>
        <w:ind w:right="300" w:firstLine="298"/>
        <w:spacing w:after="0" w:line="277" w:lineRule="auto"/>
        <w:rPr>
          <w:sz w:val="20"/>
          <w:szCs w:val="20"/>
          <w:color w:val="auto"/>
        </w:rPr>
      </w:pPr>
      <w:r>
        <w:rPr>
          <w:rFonts w:ascii="Arial" w:cs="Arial" w:eastAsia="Arial" w:hAnsi="Arial"/>
          <w:sz w:val="15"/>
          <w:szCs w:val="15"/>
          <w:color w:val="auto"/>
        </w:rPr>
        <w:t>Messrs. Hutchins, Quick and Michael Viola are the members of our Risk Committee. Our Risk Committee is not required to be fully independent, although if such rules change in the future, we will adjust the composition of the Risk Committee accordingly in order to comply with such rules.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Communication with the Board of Directors</w:t>
      </w:r>
    </w:p>
    <w:p>
      <w:pPr>
        <w:spacing w:after="0" w:line="198" w:lineRule="exact"/>
        <w:rPr>
          <w:sz w:val="20"/>
          <w:szCs w:val="20"/>
          <w:color w:val="auto"/>
        </w:rPr>
      </w:pPr>
    </w:p>
    <w:p>
      <w:pPr>
        <w:ind w:right="20" w:firstLine="289"/>
        <w:spacing w:after="0" w:line="286" w:lineRule="auto"/>
        <w:rPr>
          <w:sz w:val="20"/>
          <w:szCs w:val="20"/>
          <w:color w:val="auto"/>
        </w:rPr>
      </w:pPr>
      <w:r>
        <w:rPr>
          <w:rFonts w:ascii="Arial" w:cs="Arial" w:eastAsia="Arial" w:hAnsi="Arial"/>
          <w:sz w:val="14"/>
          <w:szCs w:val="14"/>
          <w:color w:val="auto"/>
        </w:rPr>
        <w:t>Any stockholder or other interested parties who would like to communicate with our board of directors, the independent directors as a group or any specific member or members of our board of directors should send such communications to the attention of our Secretary, at Virtu Financial, Inc., One Liberty Plaza, 165 Broadway, New York, New York 10006. Communications should contain instructions on which member or members of the board of directors the communication is intended for, if applicable. In general, such communication will be forwarded to the intended recipients. However, the Secretary may, in his discretion, decline to forward any communications that are abusive, threatening or otherwise inappropriate.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8" w:lineRule="exact"/>
        <w:rPr>
          <w:sz w:val="20"/>
          <w:szCs w:val="20"/>
          <w:color w:val="auto"/>
        </w:rPr>
      </w:pPr>
    </w:p>
    <w:p>
      <w:pPr>
        <w:ind w:right="60" w:firstLine="298"/>
        <w:spacing w:after="0" w:line="314" w:lineRule="auto"/>
        <w:rPr>
          <w:sz w:val="20"/>
          <w:szCs w:val="20"/>
          <w:color w:val="auto"/>
        </w:rPr>
      </w:pPr>
      <w:r>
        <w:rPr>
          <w:rFonts w:ascii="Arial" w:cs="Arial" w:eastAsia="Arial" w:hAnsi="Arial"/>
          <w:sz w:val="14"/>
          <w:szCs w:val="14"/>
          <w:color w:val="auto"/>
        </w:rPr>
        <w:t>During the year ended December 31, 2018, no member of the Compensation Committee was one of our officers or employees. None of our executive officers serves on the Compensation Committee or board of directors of any other company of which any of the members of our Compensation Committee or any of ours directors is an executive officer.</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Conduct and Ethics</w:t>
      </w:r>
    </w:p>
    <w:p>
      <w:pPr>
        <w:spacing w:after="0" w:line="198"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We have adopted a code of conduct and ethics applicable to our employees, officers and directors. A copy of that code is available on our corporate website at http://ir.virtu.com/corporate-governance/default.aspx. We expect that any amendments to the code, or any waivers of its requirements, will be disclosed on our website. The information on our website is not part of this proxy statement.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2: ADVISORY VOTE TO APPROVE COMPENSATION OF NAMED EXECUTIVE OFFICERS</w:t>
      </w:r>
    </w:p>
    <w:p>
      <w:pPr>
        <w:spacing w:after="0" w:line="198" w:lineRule="exact"/>
        <w:rPr>
          <w:sz w:val="20"/>
          <w:szCs w:val="20"/>
          <w:color w:val="auto"/>
        </w:rPr>
      </w:pPr>
    </w:p>
    <w:p>
      <w:pPr>
        <w:ind w:firstLine="298"/>
        <w:spacing w:after="0" w:line="262" w:lineRule="auto"/>
        <w:rPr>
          <w:sz w:val="20"/>
          <w:szCs w:val="20"/>
          <w:color w:val="auto"/>
        </w:rPr>
      </w:pPr>
      <w:r>
        <w:rPr>
          <w:rFonts w:ascii="Arial" w:cs="Arial" w:eastAsia="Arial" w:hAnsi="Arial"/>
          <w:sz w:val="15"/>
          <w:szCs w:val="15"/>
          <w:color w:val="auto"/>
        </w:rPr>
        <w:t>In accordance with the requirements of Section 14A of the Exchange Act and Exchange Act Rule 14a-21(a), we are including in this proxy statement a separate resolution to approve, in a non-binding, stockholder advisory vote, the compensation paid to our named executive officers as disclosed in "Executive Compensation" below. This vote represents our first non-binding, stockholder advisory vote on executive compensation (or "say-on-pay" vote) because, as of December 31, 2018, we are no longer an "emerging growth company" as defined in the Jumpstart Our Business Startups Act of 2012.</w:t>
      </w:r>
    </w:p>
    <w:p>
      <w:pPr>
        <w:spacing w:after="0" w:line="162" w:lineRule="exact"/>
        <w:rPr>
          <w:sz w:val="20"/>
          <w:szCs w:val="20"/>
          <w:color w:val="auto"/>
        </w:rPr>
      </w:pPr>
    </w:p>
    <w:p>
      <w:pPr>
        <w:ind w:right="80" w:firstLine="295"/>
        <w:spacing w:after="0" w:line="277" w:lineRule="auto"/>
        <w:rPr>
          <w:sz w:val="20"/>
          <w:szCs w:val="20"/>
          <w:color w:val="auto"/>
        </w:rPr>
      </w:pPr>
      <w:r>
        <w:rPr>
          <w:rFonts w:ascii="Arial" w:cs="Arial" w:eastAsia="Arial" w:hAnsi="Arial"/>
          <w:sz w:val="15"/>
          <w:szCs w:val="15"/>
          <w:color w:val="auto"/>
        </w:rPr>
        <w:t>While the results of the say-on-pay vote are non-binding and advisory in nature, our board of directors and Compensation Committee intend to consider the results of this vote in making future compensation decisions.</w:t>
      </w:r>
    </w:p>
    <w:p>
      <w:pPr>
        <w:spacing w:after="0" w:line="151" w:lineRule="exact"/>
        <w:rPr>
          <w:sz w:val="20"/>
          <w:szCs w:val="20"/>
          <w:color w:val="auto"/>
        </w:rPr>
      </w:pPr>
    </w:p>
    <w:p>
      <w:pPr>
        <w:ind w:right="20" w:firstLine="298"/>
        <w:spacing w:after="0" w:line="314" w:lineRule="auto"/>
        <w:rPr>
          <w:sz w:val="20"/>
          <w:szCs w:val="20"/>
          <w:color w:val="auto"/>
        </w:rPr>
      </w:pPr>
      <w:r>
        <w:rPr>
          <w:rFonts w:ascii="Arial" w:cs="Arial" w:eastAsia="Arial" w:hAnsi="Arial"/>
          <w:sz w:val="14"/>
          <w:szCs w:val="14"/>
          <w:color w:val="auto"/>
        </w:rPr>
        <w:t>Our board of directors currently intends to conduct advisory votes on executive compensation every year, subject to any input from our shareholders as a result of the advisory vote on the frequency of future say-on-pay votes in proposal 3. As a result, our next advisory say-on-pay vote will take place at our annual meeting of shareholders in 2020.</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language of the resolution is as follows:</w:t>
      </w:r>
    </w:p>
    <w:p>
      <w:pPr>
        <w:spacing w:after="0" w:line="194" w:lineRule="exact"/>
        <w:rPr>
          <w:sz w:val="20"/>
          <w:szCs w:val="20"/>
          <w:color w:val="auto"/>
        </w:rPr>
      </w:pPr>
    </w:p>
    <w:p>
      <w:pPr>
        <w:ind w:right="100" w:firstLine="298"/>
        <w:spacing w:after="0" w:line="265" w:lineRule="auto"/>
        <w:rPr>
          <w:sz w:val="20"/>
          <w:szCs w:val="20"/>
          <w:color w:val="auto"/>
        </w:rPr>
      </w:pPr>
      <w:r>
        <w:rPr>
          <w:rFonts w:ascii="Arial" w:cs="Arial" w:eastAsia="Arial" w:hAnsi="Arial"/>
          <w:sz w:val="15"/>
          <w:szCs w:val="15"/>
          <w:color w:val="auto"/>
        </w:rPr>
        <w:t>"RESOLVED, that the compensation paid to the Company's named executive officers for the fiscal year ended December 31, 2018, as discussed pursuant to the compensation disclosure rules of the SEC, including the compensation discussion and analysis, the summary compensation table and the related compensation tables and narrative in this proxy statement, is hereby APPROVED, on an advisory basis."</w:t>
      </w:r>
    </w:p>
    <w:p>
      <w:pPr>
        <w:spacing w:after="0" w:line="161" w:lineRule="exact"/>
        <w:rPr>
          <w:sz w:val="20"/>
          <w:szCs w:val="20"/>
          <w:color w:val="auto"/>
        </w:rPr>
      </w:pPr>
    </w:p>
    <w:p>
      <w:pPr>
        <w:ind w:right="360" w:firstLine="298"/>
        <w:spacing w:after="0" w:line="277" w:lineRule="auto"/>
        <w:rPr>
          <w:sz w:val="20"/>
          <w:szCs w:val="20"/>
          <w:color w:val="auto"/>
        </w:rPr>
      </w:pPr>
      <w:r>
        <w:rPr>
          <w:rFonts w:ascii="Arial" w:cs="Arial" w:eastAsia="Arial" w:hAnsi="Arial"/>
          <w:sz w:val="15"/>
          <w:szCs w:val="15"/>
          <w:color w:val="auto"/>
        </w:rPr>
        <w:t>In considering their vote, stockholders are encouraged to read the compensation discussion and analysis, the accompanying compensation tables, and the related narrative disclosure included in this proxy statement.</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Our board of directors recommends that you vote "FOR" the approval, on an advisory basis, of the compensation of our named executive officers.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PROPOSAL 3: ADVISORY VOTE ON THE FREQUENCY OF FUTURE ADVISORY VOTES ON COMPENSATION OF NAMED EXECUTIVE OFFICERS</w:t>
      </w:r>
    </w:p>
    <w:p>
      <w:pPr>
        <w:spacing w:after="0" w:line="198" w:lineRule="exact"/>
        <w:rPr>
          <w:sz w:val="20"/>
          <w:szCs w:val="20"/>
          <w:color w:val="auto"/>
        </w:rPr>
      </w:pPr>
    </w:p>
    <w:p>
      <w:pPr>
        <w:ind w:right="20" w:firstLine="298"/>
        <w:spacing w:after="0" w:line="262" w:lineRule="auto"/>
        <w:rPr>
          <w:sz w:val="20"/>
          <w:szCs w:val="20"/>
          <w:color w:val="auto"/>
        </w:rPr>
      </w:pPr>
      <w:r>
        <w:rPr>
          <w:rFonts w:ascii="Arial" w:cs="Arial" w:eastAsia="Arial" w:hAnsi="Arial"/>
          <w:sz w:val="15"/>
          <w:szCs w:val="15"/>
          <w:color w:val="auto"/>
        </w:rPr>
        <w:t>In accordance with the requirements of Section 14A of the Exchange Act and the related rules of the SEC, we are submitting for stockholder consideration a separate resolution to determine, in a non-binding advisory vote, whether say-on-pay votes should occur every one, two or three years. This vote represents our first non-binding, stockholder advisory vote on the frequency of say-on-pay votes (a "say-on-frequency" vote) because, as of December 31, 2018, we are no longer an "emerging growth company" as defined in the Jumpstart Our Business Startups Act of 2012.</w:t>
      </w:r>
    </w:p>
    <w:p>
      <w:pPr>
        <w:spacing w:after="0" w:line="162" w:lineRule="exact"/>
        <w:rPr>
          <w:sz w:val="20"/>
          <w:szCs w:val="20"/>
          <w:color w:val="auto"/>
        </w:rPr>
      </w:pPr>
    </w:p>
    <w:p>
      <w:pPr>
        <w:ind w:right="220" w:firstLine="289"/>
        <w:spacing w:after="0" w:line="277" w:lineRule="auto"/>
        <w:rPr>
          <w:sz w:val="20"/>
          <w:szCs w:val="20"/>
          <w:color w:val="auto"/>
        </w:rPr>
      </w:pPr>
      <w:r>
        <w:rPr>
          <w:rFonts w:ascii="Arial" w:cs="Arial" w:eastAsia="Arial" w:hAnsi="Arial"/>
          <w:sz w:val="15"/>
          <w:szCs w:val="15"/>
          <w:color w:val="auto"/>
        </w:rPr>
        <w:t>After careful consideration, our board of directors believes that a frequency of every year for the advisory vote on executive compensation is the optimal interval for conducting and responding to a "say-on-pay" vote.</w:t>
      </w:r>
    </w:p>
    <w:p>
      <w:pPr>
        <w:spacing w:after="0" w:line="151" w:lineRule="exact"/>
        <w:rPr>
          <w:sz w:val="20"/>
          <w:szCs w:val="20"/>
          <w:color w:val="auto"/>
        </w:rPr>
      </w:pPr>
    </w:p>
    <w:p>
      <w:pPr>
        <w:ind w:firstLine="295"/>
        <w:spacing w:after="0" w:line="277" w:lineRule="auto"/>
        <w:rPr>
          <w:sz w:val="20"/>
          <w:szCs w:val="20"/>
          <w:color w:val="auto"/>
        </w:rPr>
      </w:pPr>
      <w:r>
        <w:rPr>
          <w:rFonts w:ascii="Arial" w:cs="Arial" w:eastAsia="Arial" w:hAnsi="Arial"/>
          <w:sz w:val="15"/>
          <w:szCs w:val="15"/>
          <w:color w:val="auto"/>
        </w:rPr>
        <w:t>While the results of the vote are non-binding and advisory in nature, the board of directors intends to carefully consider the results of this vote when considering the frequency of future advisory votes on executive compensation.</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Our board of directors recommends that you vote for, on an advisory basis, the approval of the option of "1 YEAR" for holding a future advisory say-on-pay vote.</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EXECUTIVE COMPENSATION</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COMPENSATION COMMITTEE REPORT</w:t>
      </w:r>
    </w:p>
    <w:p>
      <w:pPr>
        <w:spacing w:after="0" w:line="198" w:lineRule="exact"/>
        <w:rPr>
          <w:sz w:val="20"/>
          <w:szCs w:val="20"/>
          <w:color w:val="auto"/>
        </w:rPr>
      </w:pPr>
    </w:p>
    <w:p>
      <w:pPr>
        <w:ind w:right="80" w:firstLine="295"/>
        <w:spacing w:after="0" w:line="265" w:lineRule="auto"/>
        <w:rPr>
          <w:sz w:val="20"/>
          <w:szCs w:val="20"/>
          <w:color w:val="auto"/>
        </w:rPr>
      </w:pPr>
      <w:r>
        <w:rPr>
          <w:rFonts w:ascii="Arial" w:cs="Arial" w:eastAsia="Arial" w:hAnsi="Arial"/>
          <w:sz w:val="15"/>
          <w:szCs w:val="15"/>
          <w:color w:val="auto"/>
        </w:rPr>
        <w:t>The Compensation Committee has reviewed and discussed with management the disclosures contained in the following "Compensation Discussion and Analysis." Based on this review and discussion, the Compensation Committee recommended to the Board that the section entitled "Compensation Discussion and Analysis" be included in this proxy statement for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Members of the Compensation Committee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John D. Nixon (Chair)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Robert Greifeld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John F. Sandner</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COMPENSATION DISCLOSURE AND ANALYSIS</w:t>
      </w:r>
    </w:p>
    <w:p>
      <w:pPr>
        <w:spacing w:after="0" w:line="198" w:lineRule="exact"/>
        <w:rPr>
          <w:sz w:val="20"/>
          <w:szCs w:val="20"/>
          <w:color w:val="auto"/>
        </w:rPr>
      </w:pPr>
    </w:p>
    <w:p>
      <w:pPr>
        <w:ind w:firstLine="295"/>
        <w:spacing w:after="0" w:line="260" w:lineRule="auto"/>
        <w:rPr>
          <w:sz w:val="20"/>
          <w:szCs w:val="20"/>
          <w:color w:val="auto"/>
        </w:rPr>
      </w:pPr>
      <w:r>
        <w:rPr>
          <w:rFonts w:ascii="Arial" w:cs="Arial" w:eastAsia="Arial" w:hAnsi="Arial"/>
          <w:sz w:val="15"/>
          <w:szCs w:val="15"/>
          <w:color w:val="auto"/>
        </w:rPr>
        <w:t>This compensation discussion and analysis discusses our executive compensation programs for our named executive officers in respect of our fiscal year ended December 31, 2018, which we refer to herein as "fiscal year 2018," and includes a discussion of our compensation objectives and philosophy and the material elements of compensation earned by, awarded, or paid, to our named executive officers in fiscal year 2018. This section also describes processes we use in reaching compensation decisions and is intended to amplify and provide context for understanding the amounts in the tabular disclosure that follows. In addition, we highlight certain attributes of our program, provide a summary of certain key compensation decisions during fiscal year 2018 and describe our intended compensation approach.</w:t>
      </w:r>
    </w:p>
    <w:p>
      <w:pPr>
        <w:spacing w:after="0" w:line="164" w:lineRule="exact"/>
        <w:rPr>
          <w:sz w:val="20"/>
          <w:szCs w:val="20"/>
          <w:color w:val="auto"/>
        </w:rPr>
      </w:pPr>
    </w:p>
    <w:tbl>
      <w:tblPr>
        <w:tblLayout w:type="fixed"/>
        <w:tblInd w:w="280" w:type="dxa"/>
        <w:tblCellMar>
          <w:top w:w="0" w:type="dxa"/>
          <w:left w:w="0" w:type="dxa"/>
          <w:bottom w:w="0" w:type="dxa"/>
          <w:right w:w="0" w:type="dxa"/>
        </w:tblCellMar>
      </w:tblPr>
      <w:tr>
        <w:trPr>
          <w:trHeight w:val="189"/>
        </w:trPr>
        <w:tc>
          <w:tcPr>
            <w:tcW w:w="5000" w:type="dxa"/>
            <w:vAlign w:val="bottom"/>
            <w:gridSpan w:val="2"/>
          </w:tcPr>
          <w:p>
            <w:pPr>
              <w:spacing w:after="0"/>
              <w:rPr>
                <w:sz w:val="20"/>
                <w:szCs w:val="20"/>
                <w:color w:val="auto"/>
              </w:rPr>
            </w:pPr>
            <w:r>
              <w:rPr>
                <w:rFonts w:ascii="Arial" w:cs="Arial" w:eastAsia="Arial" w:hAnsi="Arial"/>
                <w:sz w:val="15"/>
                <w:szCs w:val="15"/>
                <w:color w:val="auto"/>
              </w:rPr>
              <w:t>Our named executive officers for fiscal year 2018 were as follows:</w:t>
            </w:r>
          </w:p>
        </w:tc>
        <w:tc>
          <w:tcPr>
            <w:tcW w:w="4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vMerge w:val="restart"/>
          </w:tcPr>
          <w:p>
            <w:pPr>
              <w:spacing w:after="0"/>
              <w:rPr>
                <w:sz w:val="16"/>
                <w:szCs w:val="16"/>
                <w:color w:val="auto"/>
              </w:rPr>
            </w:pPr>
          </w:p>
        </w:tc>
        <w:tc>
          <w:tcPr>
            <w:tcW w:w="35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20" w:type="dxa"/>
            <w:vAlign w:val="bottom"/>
            <w:vMerge w:val="continue"/>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Douglas A. Cifu</w:t>
            </w:r>
          </w:p>
        </w:tc>
        <w:tc>
          <w:tcPr>
            <w:tcW w:w="44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Chief Executive Officer</w:t>
            </w: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Joseph Molluso</w:t>
            </w:r>
          </w:p>
        </w:tc>
        <w:tc>
          <w:tcPr>
            <w:tcW w:w="4440" w:type="dxa"/>
            <w:vAlign w:val="bottom"/>
          </w:tcPr>
          <w:p>
            <w:pPr>
              <w:ind w:left="1020"/>
              <w:spacing w:after="0"/>
              <w:rPr>
                <w:sz w:val="20"/>
                <w:szCs w:val="20"/>
                <w:color w:val="auto"/>
              </w:rPr>
            </w:pPr>
            <w:r>
              <w:rPr>
                <w:rFonts w:ascii="Arial" w:cs="Arial" w:eastAsia="Arial" w:hAnsi="Arial"/>
                <w:sz w:val="15"/>
                <w:szCs w:val="15"/>
                <w:color w:val="auto"/>
                <w:w w:val="98"/>
              </w:rPr>
              <w:t>Executive Vice President and Chief Financial Officer</w:t>
            </w: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Stephen Cavoli</w:t>
            </w:r>
          </w:p>
        </w:tc>
        <w:tc>
          <w:tcPr>
            <w:tcW w:w="44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Executive Vice President, Markets</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Program Objectives</w:t>
      </w:r>
    </w:p>
    <w:p>
      <w:pPr>
        <w:spacing w:after="0" w:line="198" w:lineRule="exact"/>
        <w:rPr>
          <w:sz w:val="20"/>
          <w:szCs w:val="20"/>
          <w:color w:val="auto"/>
        </w:rPr>
      </w:pPr>
    </w:p>
    <w:p>
      <w:pPr>
        <w:ind w:firstLine="298"/>
        <w:spacing w:after="0" w:line="306" w:lineRule="auto"/>
        <w:rPr>
          <w:sz w:val="20"/>
          <w:szCs w:val="20"/>
          <w:color w:val="auto"/>
        </w:rPr>
      </w:pPr>
      <w:r>
        <w:rPr>
          <w:rFonts w:ascii="Arial" w:cs="Arial" w:eastAsia="Arial" w:hAnsi="Arial"/>
          <w:sz w:val="13"/>
          <w:szCs w:val="13"/>
          <w:color w:val="auto"/>
        </w:rPr>
        <w:t>Our primary objective with respect to executive compensation is to provide competitive compensation and benefits to attract, retain, motivate and reward the highest quality executive officers. Accordingly, we attempt to ensure that compensation provided to executive officers remains competitive relative to the compensation paid to similarly situated executives. A further objective of our compensation program is to provide variable pay opportunities through cash bonuses and restricted stock awards that reward our officers based on achievement of both individual and Company financial results. In addition, we aim to establish compensation plans that align the performance of our executive officers with the Company's objectives and the creation of long-term shareholder value, such as the reward of equity compensation which ties a portion of our executive compensation to the performance of our common stock. We believe an appropriate mix of an executive officer's pay should be variable and performance-based in order to focus the executive officer on both our short-term and long-term strategic objectives.</w:t>
      </w:r>
    </w:p>
    <w:p>
      <w:pPr>
        <w:spacing w:after="0" w:line="138" w:lineRule="exact"/>
        <w:rPr>
          <w:sz w:val="20"/>
          <w:szCs w:val="20"/>
          <w:color w:val="auto"/>
        </w:rPr>
      </w:pPr>
    </w:p>
    <w:p>
      <w:pPr>
        <w:ind w:right="180" w:firstLine="295"/>
        <w:spacing w:after="0" w:line="286" w:lineRule="auto"/>
        <w:rPr>
          <w:sz w:val="20"/>
          <w:szCs w:val="20"/>
          <w:color w:val="auto"/>
        </w:rPr>
      </w:pPr>
      <w:r>
        <w:rPr>
          <w:rFonts w:ascii="Arial" w:cs="Arial" w:eastAsia="Arial" w:hAnsi="Arial"/>
          <w:sz w:val="14"/>
          <w:szCs w:val="14"/>
          <w:color w:val="auto"/>
        </w:rPr>
        <w:t>The overall level of total compensation for our named executive officers is intended to be reasonable in relation to, and competitive with, the compensation paid to executives in the industries in which we compete for talent, subject to variation for factors such as the individual's experience, performance, duties and scope of responsibilities, prior contributions and future potential contributions to our business. Our compensation plans are designed to align with business strategies, taking into account external market conditions and internal equity issues. With these principles in mind, we structure our compensation program as competitive total pay packages that we believe enable us to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attract, retain and motivate executives with the skill and knowledge that we require, and to ensure the stability of our management team, which is vital to the success of our business.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Key features of our compensation policies and practices that aim to drive performance and align with stockholder interests are highlighted below:</w:t>
      </w:r>
    </w:p>
    <w:p>
      <w:pPr>
        <w:spacing w:after="0" w:line="205" w:lineRule="exact"/>
        <w:rPr>
          <w:sz w:val="20"/>
          <w:szCs w:val="20"/>
          <w:color w:val="auto"/>
        </w:rPr>
      </w:pPr>
    </w:p>
    <w:p>
      <w:pPr>
        <w:ind w:left="900" w:right="80" w:hanging="451"/>
        <w:spacing w:after="0" w:line="277"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Pay-for-performance: </w:t>
      </w:r>
      <w:r>
        <w:rPr>
          <w:rFonts w:ascii="Arial" w:cs="Arial" w:eastAsia="Arial" w:hAnsi="Arial"/>
          <w:sz w:val="15"/>
          <w:szCs w:val="15"/>
          <w:color w:val="auto"/>
        </w:rPr>
        <w:t>A portion of the compensation program for named executive officers is designed to encourage the executives to remain focused on both our short-term</w:t>
      </w:r>
      <w:r>
        <w:rPr>
          <w:rFonts w:ascii="Arial" w:cs="Arial" w:eastAsia="Arial" w:hAnsi="Arial"/>
          <w:sz w:val="15"/>
          <w:szCs w:val="15"/>
          <w:i w:val="1"/>
          <w:iCs w:val="1"/>
          <w:color w:val="auto"/>
        </w:rPr>
        <w:t xml:space="preserve"> </w:t>
      </w:r>
      <w:r>
        <w:rPr>
          <w:rFonts w:ascii="Arial" w:cs="Arial" w:eastAsia="Arial" w:hAnsi="Arial"/>
          <w:sz w:val="15"/>
          <w:szCs w:val="15"/>
          <w:color w:val="auto"/>
        </w:rPr>
        <w:t>and long-term operational success and to reward outstanding individual performance.</w:t>
      </w:r>
    </w:p>
    <w:p>
      <w:pPr>
        <w:spacing w:after="0" w:line="174" w:lineRule="exact"/>
        <w:rPr>
          <w:rFonts w:ascii="Arial" w:cs="Arial" w:eastAsia="Arial" w:hAnsi="Arial"/>
          <w:sz w:val="15"/>
          <w:szCs w:val="15"/>
          <w:color w:val="auto"/>
        </w:rPr>
      </w:pPr>
    </w:p>
    <w:p>
      <w:pPr>
        <w:ind w:left="900" w:right="240" w:hanging="451"/>
        <w:spacing w:after="0" w:line="277"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Align Incentives with Shareholders: </w:t>
      </w:r>
      <w:r>
        <w:rPr>
          <w:rFonts w:ascii="Arial" w:cs="Arial" w:eastAsia="Arial" w:hAnsi="Arial"/>
          <w:sz w:val="15"/>
          <w:szCs w:val="15"/>
          <w:color w:val="auto"/>
        </w:rPr>
        <w:t>Our executive compensation program is designed to focus our named executive officers on our key strategic, financial and operational</w:t>
      </w:r>
      <w:r>
        <w:rPr>
          <w:rFonts w:ascii="Arial" w:cs="Arial" w:eastAsia="Arial" w:hAnsi="Arial"/>
          <w:sz w:val="15"/>
          <w:szCs w:val="15"/>
          <w:i w:val="1"/>
          <w:iCs w:val="1"/>
          <w:color w:val="auto"/>
        </w:rPr>
        <w:t xml:space="preserve"> </w:t>
      </w:r>
      <w:r>
        <w:rPr>
          <w:rFonts w:ascii="Arial" w:cs="Arial" w:eastAsia="Arial" w:hAnsi="Arial"/>
          <w:sz w:val="15"/>
          <w:szCs w:val="15"/>
          <w:color w:val="auto"/>
        </w:rPr>
        <w:t>goals that will translate into long-term value-creation for our shareholders.</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Limited perquisites: </w:t>
      </w:r>
      <w:r>
        <w:rPr>
          <w:rFonts w:ascii="Arial" w:cs="Arial" w:eastAsia="Arial" w:hAnsi="Arial"/>
          <w:sz w:val="15"/>
          <w:szCs w:val="15"/>
          <w:color w:val="auto"/>
        </w:rPr>
        <w:t>We provide limited, reasonable perquisites that we believe are consistent with our overall compensation philosophy.</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No IRC Section 280G or 409A tax gross-ups: </w:t>
      </w:r>
      <w:r>
        <w:rPr>
          <w:rFonts w:ascii="Arial" w:cs="Arial" w:eastAsia="Arial" w:hAnsi="Arial"/>
          <w:sz w:val="15"/>
          <w:szCs w:val="15"/>
          <w:color w:val="auto"/>
        </w:rPr>
        <w:t>We do not provide tax gross-ups under our change in control provisions or deferred compensation programs.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No supplemental retirement plans: </w:t>
      </w:r>
      <w:r>
        <w:rPr>
          <w:rFonts w:ascii="Arial" w:cs="Arial" w:eastAsia="Arial" w:hAnsi="Arial"/>
          <w:sz w:val="15"/>
          <w:szCs w:val="15"/>
          <w:color w:val="auto"/>
        </w:rPr>
        <w:t>We do not maintain any supplemental retirement plans.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Process of Setting Executive Compensation</w:t>
      </w:r>
    </w:p>
    <w:p>
      <w:pPr>
        <w:spacing w:after="0" w:line="198" w:lineRule="exact"/>
        <w:rPr>
          <w:sz w:val="20"/>
          <w:szCs w:val="20"/>
          <w:color w:val="auto"/>
        </w:rPr>
      </w:pPr>
    </w:p>
    <w:p>
      <w:pPr>
        <w:ind w:right="80" w:firstLine="295"/>
        <w:spacing w:after="0" w:line="259" w:lineRule="auto"/>
        <w:rPr>
          <w:sz w:val="20"/>
          <w:szCs w:val="20"/>
          <w:color w:val="auto"/>
        </w:rPr>
      </w:pPr>
      <w:r>
        <w:rPr>
          <w:rFonts w:ascii="Arial" w:cs="Arial" w:eastAsia="Arial" w:hAnsi="Arial"/>
          <w:sz w:val="15"/>
          <w:szCs w:val="15"/>
          <w:color w:val="auto"/>
        </w:rPr>
        <w:t>The Compensation Committee participates in an annual evaluation of the performance of our CEO and the Compensation Committee determines and approves the CEO's compensation level based on this evaluation. In determining the long-term incentive component of CEO compensation, the Compensation Committee will also consider, among such other factors, the Company's performance, shareholder returns, the value of similar incentive awards to chief executive officers at comparable companies and the awards given to the CEO in past years. Our CEO reviews each named executive officer's compensation package, other than his own, annually in light of the performance of each officer. The conclusions reached and recommendations made based on these reviews, including those with respect to salary adjustments and annual award amounts, are then presented to the Compensation Committee and/or our board of directors for review and approval.</w:t>
      </w:r>
    </w:p>
    <w:p>
      <w:pPr>
        <w:spacing w:after="0" w:line="165" w:lineRule="exact"/>
        <w:rPr>
          <w:sz w:val="20"/>
          <w:szCs w:val="20"/>
          <w:color w:val="auto"/>
        </w:rPr>
      </w:pPr>
    </w:p>
    <w:p>
      <w:pPr>
        <w:ind w:right="260" w:firstLine="298"/>
        <w:spacing w:after="0" w:line="356" w:lineRule="auto"/>
        <w:rPr>
          <w:sz w:val="20"/>
          <w:szCs w:val="20"/>
          <w:color w:val="auto"/>
        </w:rPr>
      </w:pPr>
      <w:r>
        <w:rPr>
          <w:rFonts w:ascii="Arial" w:cs="Arial" w:eastAsia="Arial" w:hAnsi="Arial"/>
          <w:sz w:val="13"/>
          <w:szCs w:val="13"/>
          <w:color w:val="auto"/>
        </w:rPr>
        <w:t>Specifically, the Compensation Committee determines and approves the compensation packages of the CEO and approves the compensation packages of each other named executive officer, giving significant deference to the views and recommendations of the CEO. The CEO is not present during voting or deliberations relating to his own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Compensation Consultant</w:t>
      </w:r>
    </w:p>
    <w:p>
      <w:pPr>
        <w:spacing w:after="0" w:line="198" w:lineRule="exact"/>
        <w:rPr>
          <w:sz w:val="20"/>
          <w:szCs w:val="20"/>
          <w:color w:val="auto"/>
        </w:rPr>
      </w:pPr>
    </w:p>
    <w:p>
      <w:pPr>
        <w:ind w:firstLine="295"/>
        <w:spacing w:after="0" w:line="281" w:lineRule="auto"/>
        <w:rPr>
          <w:sz w:val="20"/>
          <w:szCs w:val="20"/>
          <w:color w:val="auto"/>
        </w:rPr>
      </w:pPr>
      <w:r>
        <w:rPr>
          <w:rFonts w:ascii="Arial" w:cs="Arial" w:eastAsia="Arial" w:hAnsi="Arial"/>
          <w:sz w:val="14"/>
          <w:szCs w:val="14"/>
          <w:color w:val="auto"/>
        </w:rPr>
        <w:t>The Compensation Committee has previously engaged an independent compensation consultant, F.W. Cook (the "Committee's consultant"), to assist it in carrying out its responsibilities. The Committee's consultant has previously provided the Compensation Committee with guidance to consider when making the compensation decisions for the CEO and when considering the recommendations made with respect to the other named executive officers. The Compensation Committee has the sole authority to retain or terminate consultants to assist it in the evaluation of director, chief executive officer and other executive compensation. The Compensation Committee has the sole authority to determine the terms of engagement and the extent of funding necessary for payment of compensation to any consultant retained to advise the Compensation Committee. Except for compensation recommendations regarding the CFO's compensation, the Committee's consultant did not provide any services to the Compensation Committee or management in fiscal year 2018.</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Elements of Compensation for 2018 and Why We Chose to Pay Each Element</w:t>
      </w:r>
    </w:p>
    <w:p>
      <w:pPr>
        <w:spacing w:after="0" w:line="198" w:lineRule="exact"/>
        <w:rPr>
          <w:sz w:val="20"/>
          <w:szCs w:val="20"/>
          <w:color w:val="auto"/>
        </w:rPr>
      </w:pPr>
    </w:p>
    <w:p>
      <w:pPr>
        <w:ind w:right="400" w:firstLine="295"/>
        <w:spacing w:after="0" w:line="314" w:lineRule="auto"/>
        <w:rPr>
          <w:sz w:val="20"/>
          <w:szCs w:val="20"/>
          <w:color w:val="auto"/>
        </w:rPr>
      </w:pPr>
      <w:r>
        <w:rPr>
          <w:rFonts w:ascii="Arial" w:cs="Arial" w:eastAsia="Arial" w:hAnsi="Arial"/>
          <w:sz w:val="14"/>
          <w:szCs w:val="14"/>
          <w:color w:val="auto"/>
        </w:rPr>
        <w:t>The primary elements of our executive compensation program are base salary, annual cash bonuses, equity-based compensation and certain employee benefits and perquisites. Brief descriptions of each principal element of our executive compensation program are summarized in the following table and described in more detail below.</w:t>
      </w:r>
    </w:p>
    <w:p>
      <w:pPr>
        <w:sectPr>
          <w:pgSz w:w="11900" w:h="16838" w:orient="portrait"/>
          <w:cols w:equalWidth="0" w:num="1">
            <w:col w:w="11420"/>
          </w:cols>
          <w:pgMar w:left="240" w:top="132" w:right="239" w:bottom="1440" w:gutter="0" w:footer="0" w:header="0"/>
        </w:sectPr>
      </w:pP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780" w:type="dxa"/>
            <w:vAlign w:val="bottom"/>
            <w:gridSpan w:val="3"/>
          </w:tcPr>
          <w:p>
            <w:pPr>
              <w:spacing w:after="0"/>
              <w:rPr>
                <w:sz w:val="20"/>
                <w:szCs w:val="20"/>
                <w:color w:val="auto"/>
              </w:rPr>
            </w:pPr>
            <w:r>
              <w:rPr>
                <w:rFonts w:ascii="Arial" w:cs="Arial" w:eastAsia="Arial" w:hAnsi="Arial"/>
                <w:sz w:val="11"/>
                <w:szCs w:val="11"/>
                <w:b w:val="1"/>
                <w:bCs w:val="1"/>
                <w:color w:val="auto"/>
              </w:rPr>
              <w:t>Compensation Element</w:t>
            </w:r>
          </w:p>
        </w:tc>
        <w:tc>
          <w:tcPr>
            <w:tcW w:w="3120" w:type="dxa"/>
            <w:vAlign w:val="bottom"/>
          </w:tcPr>
          <w:p>
            <w:pPr>
              <w:ind w:left="1140"/>
              <w:spacing w:after="0"/>
              <w:rPr>
                <w:sz w:val="20"/>
                <w:szCs w:val="20"/>
                <w:color w:val="auto"/>
              </w:rPr>
            </w:pPr>
            <w:r>
              <w:rPr>
                <w:rFonts w:ascii="Arial" w:cs="Arial" w:eastAsia="Arial" w:hAnsi="Arial"/>
                <w:sz w:val="11"/>
                <w:szCs w:val="11"/>
                <w:b w:val="1"/>
                <w:bCs w:val="1"/>
                <w:color w:val="auto"/>
              </w:rPr>
              <w:t>Brief Description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5"/>
                <w:szCs w:val="15"/>
                <w:b w:val="1"/>
                <w:bCs w:val="1"/>
                <w:i w:val="1"/>
                <w:iCs w:val="1"/>
                <w:color w:val="auto"/>
              </w:rPr>
              <w:t>Base Salary</w:t>
            </w:r>
          </w:p>
        </w:tc>
        <w:tc>
          <w:tcPr>
            <w:tcW w:w="1640" w:type="dxa"/>
            <w:vAlign w:val="bottom"/>
          </w:tcPr>
          <w:p>
            <w:pPr>
              <w:spacing w:after="0"/>
              <w:rPr>
                <w:sz w:val="15"/>
                <w:szCs w:val="15"/>
                <w:color w:val="auto"/>
              </w:rPr>
            </w:pPr>
          </w:p>
        </w:tc>
        <w:tc>
          <w:tcPr>
            <w:tcW w:w="3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Fixed compensation</w:t>
            </w:r>
          </w:p>
        </w:tc>
        <w:tc>
          <w:tcPr>
            <w:tcW w:w="0" w:type="dxa"/>
            <w:vAlign w:val="bottom"/>
          </w:tcPr>
          <w:p>
            <w:pPr>
              <w:spacing w:after="0"/>
              <w:rPr>
                <w:sz w:val="1"/>
                <w:szCs w:val="1"/>
                <w:color w:val="auto"/>
              </w:rPr>
            </w:pPr>
          </w:p>
        </w:tc>
      </w:tr>
      <w:tr>
        <w:trPr>
          <w:trHeight w:val="361"/>
        </w:trPr>
        <w:tc>
          <w:tcPr>
            <w:tcW w:w="278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Annual Cash Bonus</w:t>
            </w:r>
          </w:p>
        </w:tc>
        <w:tc>
          <w:tcPr>
            <w:tcW w:w="3120" w:type="dxa"/>
            <w:vAlign w:val="bottom"/>
          </w:tcPr>
          <w:p>
            <w:pPr>
              <w:spacing w:after="0"/>
              <w:rPr>
                <w:sz w:val="20"/>
                <w:szCs w:val="20"/>
                <w:color w:val="auto"/>
              </w:rPr>
            </w:pPr>
            <w:r>
              <w:rPr>
                <w:rFonts w:ascii="Arial" w:cs="Arial" w:eastAsia="Arial" w:hAnsi="Arial"/>
                <w:sz w:val="15"/>
                <w:szCs w:val="15"/>
                <w:color w:val="auto"/>
                <w:w w:val="94"/>
              </w:rPr>
              <w:t>Variable, performance-based cash compensation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earned based on financial and individual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performance</w:t>
            </w:r>
          </w:p>
        </w:tc>
        <w:tc>
          <w:tcPr>
            <w:tcW w:w="0" w:type="dxa"/>
            <w:vAlign w:val="bottom"/>
          </w:tcPr>
          <w:p>
            <w:pPr>
              <w:spacing w:after="0"/>
              <w:rPr>
                <w:sz w:val="1"/>
                <w:szCs w:val="1"/>
                <w:color w:val="auto"/>
              </w:rPr>
            </w:pPr>
          </w:p>
        </w:tc>
      </w:tr>
      <w:tr>
        <w:trPr>
          <w:trHeight w:val="361"/>
        </w:trPr>
        <w:tc>
          <w:tcPr>
            <w:tcW w:w="278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Annual Equity Awards</w:t>
            </w:r>
          </w:p>
        </w:tc>
        <w:tc>
          <w:tcPr>
            <w:tcW w:w="3120" w:type="dxa"/>
            <w:vAlign w:val="bottom"/>
          </w:tcPr>
          <w:p>
            <w:pPr>
              <w:spacing w:after="0"/>
              <w:rPr>
                <w:sz w:val="20"/>
                <w:szCs w:val="20"/>
                <w:color w:val="auto"/>
              </w:rPr>
            </w:pPr>
            <w:r>
              <w:rPr>
                <w:rFonts w:ascii="Arial" w:cs="Arial" w:eastAsia="Arial" w:hAnsi="Arial"/>
                <w:sz w:val="15"/>
                <w:szCs w:val="15"/>
                <w:color w:val="auto"/>
              </w:rPr>
              <w:t>Equity and equity-based compensation that is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subject to vesting based on (i) continued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5"/>
                <w:szCs w:val="15"/>
                <w:color w:val="auto"/>
                <w:w w:val="96"/>
              </w:rPr>
              <w:t>employment and (ii) for certain named executive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5"/>
                <w:szCs w:val="15"/>
                <w:color w:val="auto"/>
                <w:w w:val="95"/>
              </w:rPr>
              <w:t>officers, achievement of pre-established financial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and operational goals</w:t>
            </w:r>
          </w:p>
        </w:tc>
        <w:tc>
          <w:tcPr>
            <w:tcW w:w="0" w:type="dxa"/>
            <w:vAlign w:val="bottom"/>
          </w:tcPr>
          <w:p>
            <w:pPr>
              <w:spacing w:after="0"/>
              <w:rPr>
                <w:sz w:val="1"/>
                <w:szCs w:val="1"/>
                <w:color w:val="auto"/>
              </w:rPr>
            </w:pPr>
          </w:p>
        </w:tc>
      </w:tr>
      <w:tr>
        <w:trPr>
          <w:trHeight w:val="366"/>
        </w:trPr>
        <w:tc>
          <w:tcPr>
            <w:tcW w:w="278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Employee Benefits and Perquisites</w:t>
            </w:r>
          </w:p>
        </w:tc>
        <w:tc>
          <w:tcPr>
            <w:tcW w:w="3120" w:type="dxa"/>
            <w:vAlign w:val="bottom"/>
            <w:vMerge w:val="restart"/>
          </w:tcPr>
          <w:p>
            <w:pPr>
              <w:spacing w:after="0"/>
              <w:rPr>
                <w:sz w:val="20"/>
                <w:szCs w:val="20"/>
                <w:color w:val="auto"/>
              </w:rPr>
            </w:pPr>
            <w:r>
              <w:rPr>
                <w:rFonts w:ascii="Arial" w:cs="Arial" w:eastAsia="Arial" w:hAnsi="Arial"/>
                <w:sz w:val="15"/>
                <w:szCs w:val="15"/>
                <w:color w:val="auto"/>
                <w:w w:val="96"/>
              </w:rPr>
              <w:t>Participation in all broad-based employee health</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and welfare programs and retirement plans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1"/>
          <w:szCs w:val="11"/>
          <w:b w:val="1"/>
          <w:bCs w:val="1"/>
          <w:color w:val="auto"/>
        </w:rPr>
        <w:t>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97675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76755" cy="6985"/>
                    </a:xfrm>
                    <a:prstGeom prst="rect">
                      <a:avLst/>
                    </a:prstGeom>
                    <a:noFill/>
                  </pic:spPr>
                </pic:pic>
              </a:graphicData>
            </a:graphic>
          </wp:anchor>
        </w:drawing>
      </w:r>
    </w:p>
    <w:p>
      <w:pPr>
        <w:spacing w:after="0" w:line="1" w:lineRule="exact"/>
        <w:rPr>
          <w:sz w:val="20"/>
          <w:szCs w:val="20"/>
          <w:color w:val="auto"/>
        </w:rPr>
      </w:pPr>
    </w:p>
    <w:p>
      <w:pPr>
        <w:ind w:right="1460"/>
        <w:spacing w:after="0" w:line="261" w:lineRule="auto"/>
        <w:rPr>
          <w:sz w:val="20"/>
          <w:szCs w:val="20"/>
          <w:color w:val="auto"/>
        </w:rPr>
      </w:pPr>
      <w:r>
        <w:rPr>
          <w:rFonts w:ascii="Arial" w:cs="Arial" w:eastAsia="Arial" w:hAnsi="Arial"/>
          <w:sz w:val="15"/>
          <w:szCs w:val="15"/>
          <w:color w:val="auto"/>
        </w:rPr>
        <w:t>Provide a competitive, fixed level of cash compensation to attract and retain talented and skilled executives</w:t>
      </w:r>
    </w:p>
    <w:p>
      <w:pPr>
        <w:spacing w:after="0" w:line="346" w:lineRule="exact"/>
        <w:rPr>
          <w:sz w:val="20"/>
          <w:szCs w:val="20"/>
          <w:color w:val="auto"/>
        </w:rPr>
      </w:pPr>
    </w:p>
    <w:p>
      <w:pPr>
        <w:ind w:right="1440"/>
        <w:spacing w:after="0" w:line="356" w:lineRule="auto"/>
        <w:rPr>
          <w:sz w:val="20"/>
          <w:szCs w:val="20"/>
          <w:color w:val="auto"/>
        </w:rPr>
      </w:pPr>
      <w:r>
        <w:rPr>
          <w:rFonts w:ascii="Arial" w:cs="Arial" w:eastAsia="Arial" w:hAnsi="Arial"/>
          <w:sz w:val="13"/>
          <w:szCs w:val="13"/>
          <w:color w:val="auto"/>
        </w:rPr>
        <w:t>Retain and motivate executives to achieve or exceed financial goals and company objectives</w:t>
      </w:r>
    </w:p>
    <w:p>
      <w:pPr>
        <w:spacing w:after="0" w:line="289" w:lineRule="exact"/>
        <w:rPr>
          <w:sz w:val="20"/>
          <w:szCs w:val="20"/>
          <w:color w:val="auto"/>
        </w:rPr>
      </w:pPr>
    </w:p>
    <w:p>
      <w:pPr>
        <w:ind w:right="1200"/>
        <w:spacing w:after="0" w:line="262" w:lineRule="auto"/>
        <w:rPr>
          <w:sz w:val="20"/>
          <w:szCs w:val="20"/>
          <w:color w:val="auto"/>
        </w:rPr>
      </w:pPr>
      <w:r>
        <w:rPr>
          <w:rFonts w:ascii="Arial" w:cs="Arial" w:eastAsia="Arial" w:hAnsi="Arial"/>
          <w:sz w:val="15"/>
          <w:szCs w:val="15"/>
          <w:color w:val="auto"/>
        </w:rPr>
        <w:t>The mix of equity and equity-based awards with time-based vesting assists in retention of key talent while also rewarding executives for exceptional performance</w:t>
      </w:r>
    </w:p>
    <w:p>
      <w:pPr>
        <w:spacing w:after="0" w:line="162" w:lineRule="exact"/>
        <w:rPr>
          <w:sz w:val="20"/>
          <w:szCs w:val="20"/>
          <w:color w:val="auto"/>
        </w:rPr>
      </w:pPr>
    </w:p>
    <w:p>
      <w:pPr>
        <w:jc w:val="both"/>
        <w:ind w:right="1540"/>
        <w:spacing w:after="0" w:line="325" w:lineRule="auto"/>
        <w:rPr>
          <w:sz w:val="20"/>
          <w:szCs w:val="20"/>
          <w:color w:val="auto"/>
        </w:rPr>
      </w:pPr>
      <w:r>
        <w:rPr>
          <w:rFonts w:ascii="Arial" w:cs="Arial" w:eastAsia="Arial" w:hAnsi="Arial"/>
          <w:sz w:val="13"/>
          <w:szCs w:val="13"/>
          <w:color w:val="auto"/>
        </w:rPr>
        <w:t>Aid in retention of key executives in a highly competitive market for talent by providing an overall competitive benefits package</w:t>
      </w:r>
    </w:p>
    <w:p>
      <w:pPr>
        <w:spacing w:after="0" w:line="125" w:lineRule="exact"/>
        <w:rPr>
          <w:sz w:val="20"/>
          <w:szCs w:val="20"/>
          <w:color w:val="auto"/>
        </w:rPr>
      </w:pPr>
    </w:p>
    <w:p>
      <w:pPr>
        <w:sectPr>
          <w:pgSz w:w="11900" w:h="16838" w:orient="portrait"/>
          <w:cols w:equalWidth="0" w:num="2">
            <w:col w:w="7040" w:space="140"/>
            <w:col w:w="4240"/>
          </w:cols>
          <w:pgMar w:left="240" w:top="132" w:right="239" w:bottom="1440" w:gutter="0" w:footer="0" w:header="0"/>
          <w:type w:val="continuous"/>
        </w:sectPr>
      </w:pPr>
    </w:p>
    <w:p>
      <w:pPr>
        <w:ind w:right="220" w:firstLine="298"/>
        <w:spacing w:after="0" w:line="314" w:lineRule="auto"/>
        <w:rPr>
          <w:sz w:val="20"/>
          <w:szCs w:val="20"/>
          <w:color w:val="auto"/>
        </w:rPr>
      </w:pPr>
      <w:r>
        <w:rPr>
          <w:rFonts w:ascii="Arial" w:cs="Arial" w:eastAsia="Arial" w:hAnsi="Arial"/>
          <w:sz w:val="13"/>
          <w:szCs w:val="13"/>
          <w:color w:val="auto"/>
        </w:rPr>
        <w:t>Consistent with and in promotion of the compensation program objectives detailed above, a significant percentage of total compensation is allocated incentives in order to motivate the named executive officers to achieve the business goals set by the Company and reward the officers for achieving such goals. There is no pre-established policy or target for allocating compensation between long-term and currently paid out compensation, between cash and non-cash compensation, among different forms of non-cash compensation, or among named executive officers. Rather, we look at an executive's goals and responsibilities to determine the appropriate level and mix of incentive compensation.</w:t>
      </w:r>
    </w:p>
    <w:p>
      <w:pPr>
        <w:spacing w:after="0" w:line="133" w:lineRule="exact"/>
        <w:rPr>
          <w:sz w:val="20"/>
          <w:szCs w:val="20"/>
          <w:color w:val="auto"/>
        </w:rPr>
      </w:pPr>
    </w:p>
    <w:p>
      <w:pPr>
        <w:ind w:firstLine="298"/>
        <w:spacing w:after="0" w:line="283" w:lineRule="auto"/>
        <w:rPr>
          <w:sz w:val="20"/>
          <w:szCs w:val="20"/>
          <w:color w:val="auto"/>
        </w:rPr>
      </w:pPr>
      <w:r>
        <w:rPr>
          <w:rFonts w:ascii="Arial" w:cs="Arial" w:eastAsia="Arial" w:hAnsi="Arial"/>
          <w:sz w:val="14"/>
          <w:szCs w:val="14"/>
          <w:b w:val="1"/>
          <w:bCs w:val="1"/>
          <w:i w:val="1"/>
          <w:iCs w:val="1"/>
          <w:color w:val="auto"/>
        </w:rPr>
        <w:t xml:space="preserve">Base Salary. </w:t>
      </w:r>
      <w:r>
        <w:rPr>
          <w:rFonts w:ascii="Arial" w:cs="Arial" w:eastAsia="Arial" w:hAnsi="Arial"/>
          <w:sz w:val="14"/>
          <w:szCs w:val="14"/>
          <w:color w:val="auto"/>
        </w:rPr>
        <w:t>We provide executive officers with a base salary to compensate them for services rendered during the fiscal year. This process also enables us to attract and retain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appropriate caliber of talent for the position and to provide a base level of monthly income that is not subject to our performance risk. We conduct a review of base salaries annually, and during such a review we generally consider each named executive officer's individual past performance, the scope of the role and responsibilities of the executive officer within our organization, and the performance of the organization as a whole. We also review the officer's compensation relative to that of our other officers and to the market for officers of similar expertise and experience. Base salaries for our named executive officers were not increased in fiscal year 2018.</w:t>
      </w:r>
    </w:p>
    <w:p>
      <w:pPr>
        <w:spacing w:after="0" w:line="150" w:lineRule="exact"/>
        <w:rPr>
          <w:sz w:val="20"/>
          <w:szCs w:val="20"/>
          <w:color w:val="auto"/>
        </w:rPr>
      </w:pPr>
    </w:p>
    <w:p>
      <w:pPr>
        <w:ind w:right="40" w:firstLine="298"/>
        <w:spacing w:after="0" w:line="277" w:lineRule="auto"/>
        <w:rPr>
          <w:sz w:val="20"/>
          <w:szCs w:val="20"/>
          <w:color w:val="auto"/>
        </w:rPr>
      </w:pPr>
      <w:r>
        <w:rPr>
          <w:rFonts w:ascii="Arial" w:cs="Arial" w:eastAsia="Arial" w:hAnsi="Arial"/>
          <w:sz w:val="15"/>
          <w:szCs w:val="15"/>
          <w:b w:val="1"/>
          <w:bCs w:val="1"/>
          <w:i w:val="1"/>
          <w:iCs w:val="1"/>
          <w:color w:val="auto"/>
        </w:rPr>
        <w:t xml:space="preserve">Variable Incentive Compensation. </w:t>
      </w:r>
      <w:r>
        <w:rPr>
          <w:rFonts w:ascii="Arial" w:cs="Arial" w:eastAsia="Arial" w:hAnsi="Arial"/>
          <w:sz w:val="15"/>
          <w:szCs w:val="15"/>
          <w:color w:val="auto"/>
        </w:rPr>
        <w:t>We award variable incentive compensation to reward performance achievements with a time horizon of one year or less. We provide this opportunity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attract and retain an appropriate caliber of talent for the position and to motivate executives to achieve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25" w:name="page26"/>
    <w:bookmarkEnd w:id="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700"/>
        <w:spacing w:after="0" w:line="277" w:lineRule="auto"/>
        <w:rPr>
          <w:sz w:val="20"/>
          <w:szCs w:val="20"/>
          <w:color w:val="auto"/>
        </w:rPr>
      </w:pPr>
      <w:r>
        <w:rPr>
          <w:rFonts w:ascii="Arial" w:cs="Arial" w:eastAsia="Arial" w:hAnsi="Arial"/>
          <w:sz w:val="15"/>
          <w:szCs w:val="15"/>
          <w:color w:val="auto"/>
        </w:rPr>
        <w:t>our annual business goals. We review variable incentive compensation awards annually to determine award payments for the last completed fiscal year, as well as to establish award opportunities for the current fiscal year.</w:t>
      </w:r>
    </w:p>
    <w:p>
      <w:pPr>
        <w:spacing w:after="0" w:line="151" w:lineRule="exact"/>
        <w:rPr>
          <w:sz w:val="20"/>
          <w:szCs w:val="20"/>
          <w:color w:val="auto"/>
        </w:rPr>
      </w:pPr>
    </w:p>
    <w:p>
      <w:pPr>
        <w:ind w:right="80" w:firstLine="295"/>
        <w:spacing w:after="0" w:line="283" w:lineRule="auto"/>
        <w:rPr>
          <w:sz w:val="20"/>
          <w:szCs w:val="20"/>
          <w:color w:val="auto"/>
        </w:rPr>
      </w:pPr>
      <w:r>
        <w:rPr>
          <w:rFonts w:ascii="Arial" w:cs="Arial" w:eastAsia="Arial" w:hAnsi="Arial"/>
          <w:sz w:val="14"/>
          <w:szCs w:val="14"/>
          <w:color w:val="auto"/>
        </w:rPr>
        <w:t>To determine the actual variable incentive compensation amounts, the Compensation Committee reviews quantitative and qualitative criteria. With respect to both types of criteria, attainment of any specific level of performance or specific qualitative goal does not determine the amount of the bonus, except as discussed below regarding Mr. Cifu's annual bonus. Other than as set forth below with respect to Mr. Cifu's annual bonus, no pre-determined single performance metric is disproportionately weighted in making the determination of a named executive officer's variable incentive compensation payout, which provides discretion to our Compensation Committee to adjust the actual amount paid in respect of variable incentive compensation to reward financial performance and individual performance in the context of our growing and dynamic business.</w:t>
      </w:r>
    </w:p>
    <w:p>
      <w:pPr>
        <w:spacing w:after="0" w:line="150" w:lineRule="exact"/>
        <w:rPr>
          <w:sz w:val="20"/>
          <w:szCs w:val="20"/>
          <w:color w:val="auto"/>
        </w:rPr>
      </w:pPr>
    </w:p>
    <w:p>
      <w:pPr>
        <w:ind w:right="40" w:firstLine="295"/>
        <w:spacing w:after="0" w:line="277" w:lineRule="auto"/>
        <w:rPr>
          <w:sz w:val="20"/>
          <w:szCs w:val="20"/>
          <w:color w:val="auto"/>
        </w:rPr>
      </w:pPr>
      <w:r>
        <w:rPr>
          <w:rFonts w:ascii="Arial" w:cs="Arial" w:eastAsia="Arial" w:hAnsi="Arial"/>
          <w:sz w:val="14"/>
          <w:szCs w:val="14"/>
          <w:color w:val="auto"/>
        </w:rPr>
        <w:t>The amount of the variable incentive compensation award can be paid in a mixture of cash and/or equity, as determined by the Compensation Committee each year. This provides the Compensation Committee with more flexibility, under differing market and financial conditions and depending upon the strategic direction of the firm, to easily vary the mix of compensation without the need to focus on the form (cash or stock) but rather the value being delivered coupled with the proper incentives for our named executive officers to create short- and long-term stock holder value. Generally, the mixture of cash and equity based compensation is determined by the aggregate variable incentive compensation payable for the applicable year. For Mr. Cifu, the mixture of cash and equity for his 2018 variable incentive compensation was distributed in accordance with his employment agreement with 50% paid in cash, 20% paid in fully-vested common stock and the remaining 30% paid in the form of restricted stock units that vest ratably over a three-year period. For Mr. Molluso, 40% of his 2018 variable incentive compensation was paid in cash, 24% was paid in fully-vested common stock and the remaining 36% was paid in the form of restricted stock units that vest ratably over a three-year period. For Mr. Cavoli, 60% of his 2018 variable incentive compensation was paid in cash, 16% was paid in fully-vested common stock and the remaining 24% was paid in the form of restricted stock units that vest ratably over a three-year period. We use awards of fully-vested common stock and restricted stock units as a long-term incentive vehicle because it aligns the interests of executives with those of shareholders, supports a pay-for-performance culture, fosters employee stock ownership, and focuses the management team on increasing value for the shareholders and on the organization's long-term performance.</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 fiscal year 2018, in accordance with the terms of his employment agreement, Mr. Cifu was eligible to earn an annual bonus with a target bonus opportunity equal to $2,500,000 and 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maximum bonus opportunity equal to $5,000,000. Eighty percent (80%) of the annual bonus was based on the achievement of budgeted adjusted EBITDA in fiscal year 2018 and 20% of the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annual bonus was based on the achievement of qualitative goals. For fiscal year 2018, the threshold to earn the target performance-based portion of the annual bonus was achievement of</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budgeted adjusted EBITDA of $444,900,000 and the threshold to earn the maximum performance-based portion of the annual bonus was achievement of budgeted adjusted EBITDA of</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$600,000,000. Our actual budgeted adjusted EBITDA for fiscal year 2018 was $619,987,000, therefore Mr. Cifu earned 100% (</w:t>
      </w:r>
      <w:r>
        <w:rPr>
          <w:rFonts w:ascii="Arial" w:cs="Arial" w:eastAsia="Arial" w:hAnsi="Arial"/>
          <w:sz w:val="13"/>
          <w:szCs w:val="13"/>
          <w:i w:val="1"/>
          <w:iCs w:val="1"/>
          <w:color w:val="auto"/>
        </w:rPr>
        <w:t>i.e.</w:t>
      </w:r>
      <w:r>
        <w:rPr>
          <w:rFonts w:ascii="Arial" w:cs="Arial" w:eastAsia="Arial" w:hAnsi="Arial"/>
          <w:sz w:val="13"/>
          <w:szCs w:val="13"/>
          <w:color w:val="auto"/>
        </w:rPr>
        <w:t>, $4,000,000) of the performance-based portion of his annual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bonus, and the Compensation Committee determined that Mr. Cifu earned 80% (</w:t>
      </w:r>
      <w:r>
        <w:rPr>
          <w:rFonts w:ascii="Arial" w:cs="Arial" w:eastAsia="Arial" w:hAnsi="Arial"/>
          <w:sz w:val="15"/>
          <w:szCs w:val="15"/>
          <w:i w:val="1"/>
          <w:iCs w:val="1"/>
          <w:color w:val="auto"/>
        </w:rPr>
        <w:t>i.e.</w:t>
      </w:r>
      <w:r>
        <w:rPr>
          <w:rFonts w:ascii="Arial" w:cs="Arial" w:eastAsia="Arial" w:hAnsi="Arial"/>
          <w:sz w:val="15"/>
          <w:szCs w:val="15"/>
          <w:color w:val="auto"/>
        </w:rPr>
        <w:t>, $800,000) of the qualitative portion of his annual bonus.</w:t>
      </w:r>
    </w:p>
    <w:p>
      <w:pPr>
        <w:spacing w:after="0" w:line="188"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The Compensation Committee, in determining the amount of variable incentive compensation to be paid to Messrs. Molluso and Cavoli in fiscal year 2018, took into account the Company's adjusted net trading income, adjusted EBITDA, adjusted net income and adjusted earnings per share, the Company's expenses and the Company's achievement of various objectives in relation to its acquisition of and integration with KCG Holdings, Inc. Accordingly, for fiscal year 2018, the amount of variable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incentive compensation form of payments to our named executive officers is described in the table below:</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Total 2018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Variable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Arial" w:cs="Arial" w:eastAsia="Arial" w:hAnsi="Arial"/>
                <w:sz w:val="11"/>
                <w:szCs w:val="11"/>
                <w:b w:val="1"/>
                <w:bCs w:val="1"/>
                <w:color w:val="auto"/>
              </w:rPr>
              <w:t>Restricted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Incentive</w:t>
            </w:r>
          </w:p>
        </w:tc>
        <w:tc>
          <w:tcPr>
            <w:tcW w:w="0" w:type="dxa"/>
            <w:vAlign w:val="bottom"/>
          </w:tcPr>
          <w:p>
            <w:pPr>
              <w:spacing w:after="0"/>
              <w:rPr>
                <w:sz w:val="1"/>
                <w:szCs w:val="1"/>
                <w:color w:val="auto"/>
              </w:rPr>
            </w:pPr>
          </w:p>
        </w:tc>
      </w:tr>
      <w:tr>
        <w:trPr>
          <w:trHeight w:val="137"/>
        </w:trPr>
        <w:tc>
          <w:tcPr>
            <w:tcW w:w="416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140" w:type="dxa"/>
            <w:vAlign w:val="bottom"/>
          </w:tcPr>
          <w:p>
            <w:pPr>
              <w:spacing w:after="0"/>
              <w:rPr>
                <w:sz w:val="11"/>
                <w:szCs w:val="11"/>
                <w:color w:val="auto"/>
              </w:rPr>
            </w:pPr>
          </w:p>
        </w:tc>
        <w:tc>
          <w:tcPr>
            <w:tcW w:w="640" w:type="dxa"/>
            <w:vAlign w:val="bottom"/>
          </w:tcPr>
          <w:p>
            <w:pPr>
              <w:jc w:val="right"/>
              <w:ind w:right="190"/>
              <w:spacing w:after="0"/>
              <w:rPr>
                <w:sz w:val="20"/>
                <w:szCs w:val="20"/>
                <w:color w:val="auto"/>
              </w:rPr>
            </w:pPr>
            <w:r>
              <w:rPr>
                <w:rFonts w:ascii="Arial" w:cs="Arial" w:eastAsia="Arial" w:hAnsi="Arial"/>
                <w:sz w:val="11"/>
                <w:szCs w:val="11"/>
                <w:b w:val="1"/>
                <w:bCs w:val="1"/>
                <w:color w:val="auto"/>
              </w:rPr>
              <w:t>Cash</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Arial" w:cs="Arial" w:eastAsia="Arial" w:hAnsi="Arial"/>
                <w:sz w:val="11"/>
                <w:szCs w:val="11"/>
                <w:b w:val="1"/>
                <w:bCs w:val="1"/>
                <w:color w:val="auto"/>
                <w:w w:val="92"/>
              </w:rPr>
              <w:t>Stock Units</w:t>
            </w:r>
          </w:p>
        </w:tc>
        <w:tc>
          <w:tcPr>
            <w:tcW w:w="20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1"/>
                <w:szCs w:val="11"/>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4"/>
              </w:rPr>
              <w:t>Compensation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Douglas A. Cifu</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2,400,000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1,440,000</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960,000</w:t>
            </w: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4,800,000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5"/>
                <w:szCs w:val="15"/>
                <w:color w:val="auto"/>
              </w:rPr>
              <w:t>Joseph Molluso</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700,000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630,000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420,000</w:t>
            </w:r>
          </w:p>
        </w:tc>
        <w:tc>
          <w:tcPr>
            <w:tcW w:w="20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1,750,000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Stephen Cavoli</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192,000</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128,000</w:t>
            </w: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800,000</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Annual Equity Awards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Cifu Equity Award</w:t>
      </w:r>
    </w:p>
    <w:p>
      <w:pPr>
        <w:spacing w:after="0" w:line="194" w:lineRule="exact"/>
        <w:rPr>
          <w:sz w:val="20"/>
          <w:szCs w:val="20"/>
          <w:color w:val="auto"/>
        </w:rPr>
      </w:pPr>
    </w:p>
    <w:p>
      <w:pPr>
        <w:ind w:firstLine="298"/>
        <w:spacing w:after="0" w:line="259" w:lineRule="auto"/>
        <w:rPr>
          <w:sz w:val="20"/>
          <w:szCs w:val="20"/>
          <w:color w:val="auto"/>
        </w:rPr>
      </w:pPr>
      <w:r>
        <w:rPr>
          <w:rFonts w:ascii="Arial" w:cs="Arial" w:eastAsia="Arial" w:hAnsi="Arial"/>
          <w:sz w:val="15"/>
          <w:szCs w:val="15"/>
          <w:color w:val="auto"/>
        </w:rPr>
        <w:t>In fiscal year 2018, in accordance with the terms of his employment agreement, Mr. Cifu received a grant of 150,000 restricted shares of Class A common stock that are earned based on the percentage of budgeted adjusted EBITDA achieved in fiscal year 2018: 50% of the shares are earned if 70% of budgeted adjusted EBITDA is achieved and 100% of the shares are earned if 75% of budgeted Adjusted EBITDA is achieved. For fiscal year 2018, our budgeted adjusted EBITDA was $444,900,000 and, and as noted above, we achieved over 100% of such amount. Accordingly, Mr. Cifu earned 150,000 shares of Common A common stock, of which 50% vested on December 31, 2018 and the remaining 50% will vest on December 31, 2019, subject to Mr. Cifu's continued employment through such date. The Compensation Committee believes this award incentivizes Mr. Cifu to achieve key financial goals of the Company and aligns his long-term interests with those of our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Molluso Equity Award</w:t>
      </w:r>
    </w:p>
    <w:p>
      <w:pPr>
        <w:spacing w:after="0" w:line="194"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In fiscal year 2018, in recognition of prior service and his contribution to the Company's achievement of various Company objectives and corporate development, Mr. Molluso received an award of 120,000 restricted stock units that vest ratably over a three-year period (the "Molluso Equity Award").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 Benefits and Perquisites</w:t>
      </w:r>
    </w:p>
    <w:p>
      <w:pPr>
        <w:spacing w:after="0" w:line="198" w:lineRule="exact"/>
        <w:rPr>
          <w:sz w:val="20"/>
          <w:szCs w:val="20"/>
          <w:color w:val="auto"/>
        </w:rPr>
      </w:pPr>
    </w:p>
    <w:p>
      <w:pPr>
        <w:ind w:right="100" w:firstLine="295"/>
        <w:spacing w:after="0" w:line="277" w:lineRule="auto"/>
        <w:rPr>
          <w:sz w:val="20"/>
          <w:szCs w:val="20"/>
          <w:color w:val="auto"/>
        </w:rPr>
      </w:pPr>
      <w:r>
        <w:rPr>
          <w:rFonts w:ascii="Arial" w:cs="Arial" w:eastAsia="Arial" w:hAnsi="Arial"/>
          <w:sz w:val="15"/>
          <w:szCs w:val="15"/>
          <w:color w:val="auto"/>
        </w:rPr>
        <w:t>We provide a number of benefit plans to all eligible employees, including our named executive officers. These benefits include programs such as medical, dental, life insurance, business travel accident insurance, short and long-term disability coverage and a 401(k) defined contribution plan.</w:t>
      </w:r>
    </w:p>
    <w:p>
      <w:pPr>
        <w:spacing w:after="0" w:line="151" w:lineRule="exact"/>
        <w:rPr>
          <w:sz w:val="20"/>
          <w:szCs w:val="20"/>
          <w:color w:val="auto"/>
        </w:rPr>
      </w:pPr>
    </w:p>
    <w:p>
      <w:pPr>
        <w:ind w:right="20" w:firstLine="295"/>
        <w:spacing w:after="0" w:line="262" w:lineRule="auto"/>
        <w:rPr>
          <w:sz w:val="20"/>
          <w:szCs w:val="20"/>
          <w:color w:val="auto"/>
        </w:rPr>
      </w:pPr>
      <w:r>
        <w:rPr>
          <w:rFonts w:ascii="Arial" w:cs="Arial" w:eastAsia="Arial" w:hAnsi="Arial"/>
          <w:sz w:val="15"/>
          <w:szCs w:val="15"/>
          <w:color w:val="auto"/>
        </w:rPr>
        <w:t>While perquisites help to provide our named executive officers a benefit with a high perceived value at a relatively low cost, we do not generally view perquisites as a material component of our executive compensation program. In the future, we may provide additional or different perquisites or other personal benefits in limited circumstances, such as where we believe doing so is appropriate to assist an executive in the performance of his or her duties, to make our named executive officers more efficient and effective and for recruitment, motivation and/or retention purposes.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Severance Protection</w:t>
      </w:r>
    </w:p>
    <w:p>
      <w:pPr>
        <w:spacing w:after="0" w:line="198" w:lineRule="exact"/>
        <w:rPr>
          <w:sz w:val="20"/>
          <w:szCs w:val="20"/>
          <w:color w:val="auto"/>
        </w:rPr>
      </w:pPr>
    </w:p>
    <w:p>
      <w:pPr>
        <w:ind w:right="80" w:firstLine="295"/>
        <w:spacing w:after="0" w:line="262" w:lineRule="auto"/>
        <w:rPr>
          <w:sz w:val="20"/>
          <w:szCs w:val="20"/>
          <w:color w:val="auto"/>
        </w:rPr>
      </w:pPr>
      <w:r>
        <w:rPr>
          <w:rFonts w:ascii="Arial" w:cs="Arial" w:eastAsia="Arial" w:hAnsi="Arial"/>
          <w:sz w:val="15"/>
          <w:szCs w:val="15"/>
          <w:color w:val="auto"/>
        </w:rPr>
        <w:t>We have entered into an employment agreement with Mr. Cifu that provides for certain severance payments and benefits in the event that his employment is terminated under specified conditions. In addition, the vesting of a portion of his equity awards accelerates in connection with qualifying terminations of employment. A portion of the Molluso Equity Award accelerates in connection with certain qualifying terminations of Mr. Molluso's employment. We believe that these severance benefits are appropriate to remain competitive in our executive retention efforts, recognizing that such benefits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are commonly offered by employers competing for similar executive talent. See "—Potential Payments upon Termination of Employment or Change in Control" for 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of Executive Compensation</w:t>
      </w:r>
    </w:p>
    <w:p>
      <w:pPr>
        <w:spacing w:after="0" w:line="198" w:lineRule="exact"/>
        <w:rPr>
          <w:sz w:val="20"/>
          <w:szCs w:val="20"/>
          <w:color w:val="auto"/>
        </w:rPr>
      </w:pPr>
    </w:p>
    <w:p>
      <w:pPr>
        <w:ind w:right="160" w:firstLine="298"/>
        <w:spacing w:after="0" w:line="262" w:lineRule="auto"/>
        <w:rPr>
          <w:sz w:val="20"/>
          <w:szCs w:val="20"/>
          <w:color w:val="auto"/>
        </w:rPr>
      </w:pPr>
      <w:r>
        <w:rPr>
          <w:rFonts w:ascii="Arial" w:cs="Arial" w:eastAsia="Arial" w:hAnsi="Arial"/>
          <w:sz w:val="15"/>
          <w:szCs w:val="15"/>
          <w:color w:val="auto"/>
        </w:rPr>
        <w:t>For income tax purposes, public companies may not deduct any portion of compensation that is in excess of $1 million paid in a taxable year to certain "covered employees," including our named executive officers, under Section 162(m) of the Internal Revenue Code of 1986, as amended ("Section 162(m)"). However, most of the services rendered by our named executive officers will be performed on behalf of our operating partnership, Virtu Financial or its subsidiaries. Accordingly, we believe that the deductibility of compensation we pay to our named executive officers should not be limited by Section 162(m).</w:t>
      </w:r>
    </w:p>
    <w:p>
      <w:pPr>
        <w:spacing w:after="0" w:line="162" w:lineRule="exact"/>
        <w:rPr>
          <w:sz w:val="20"/>
          <w:szCs w:val="20"/>
          <w:color w:val="auto"/>
        </w:rPr>
      </w:pPr>
    </w:p>
    <w:p>
      <w:pPr>
        <w:ind w:right="60" w:firstLine="298"/>
        <w:spacing w:after="0" w:line="262" w:lineRule="auto"/>
        <w:rPr>
          <w:sz w:val="20"/>
          <w:szCs w:val="20"/>
          <w:color w:val="auto"/>
        </w:rPr>
      </w:pPr>
      <w:r>
        <w:rPr>
          <w:rFonts w:ascii="Arial" w:cs="Arial" w:eastAsia="Arial" w:hAnsi="Arial"/>
          <w:sz w:val="15"/>
          <w:szCs w:val="15"/>
          <w:color w:val="auto"/>
        </w:rPr>
        <w:t>Nevertheless, even if Section 162(m) were to apply to compensation paid to our named executive officers, our board of directors believes that it should not be constrained by the requirements of Section 162(m) of the Code if those requirements would impair flexibility in compensating our named executive officers in a manner that can best promote our corporate objectives. We intend to continue to compensate our executive officers in a manner consistent with the best interests of our stockholders and reserve the right to award compensation that may not be deductible under Section 162(m) where the Company believes it is appropriate to do so.</w:t>
      </w:r>
    </w:p>
    <w:p>
      <w:pPr>
        <w:spacing w:after="0" w:line="162" w:lineRule="exact"/>
        <w:rPr>
          <w:sz w:val="20"/>
          <w:szCs w:val="20"/>
          <w:color w:val="auto"/>
        </w:rPr>
      </w:pPr>
    </w:p>
    <w:p>
      <w:pPr>
        <w:ind w:firstLine="298"/>
        <w:spacing w:after="0" w:line="260" w:lineRule="auto"/>
        <w:rPr>
          <w:sz w:val="20"/>
          <w:szCs w:val="20"/>
          <w:color w:val="auto"/>
        </w:rPr>
      </w:pPr>
      <w:r>
        <w:rPr>
          <w:rFonts w:ascii="Arial" w:cs="Arial" w:eastAsia="Arial" w:hAnsi="Arial"/>
          <w:sz w:val="15"/>
          <w:szCs w:val="15"/>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Summary Compensation Table</w:t>
      </w:r>
    </w:p>
    <w:p>
      <w:pPr>
        <w:spacing w:after="0" w:line="198" w:lineRule="exact"/>
        <w:rPr>
          <w:sz w:val="20"/>
          <w:szCs w:val="20"/>
          <w:color w:val="auto"/>
        </w:rPr>
      </w:pPr>
    </w:p>
    <w:p>
      <w:pPr>
        <w:ind w:right="240" w:firstLine="295"/>
        <w:spacing w:after="0" w:line="277" w:lineRule="auto"/>
        <w:rPr>
          <w:sz w:val="20"/>
          <w:szCs w:val="20"/>
          <w:color w:val="auto"/>
        </w:rPr>
      </w:pPr>
      <w:r>
        <w:rPr>
          <w:rFonts w:ascii="Arial" w:cs="Arial" w:eastAsia="Arial" w:hAnsi="Arial"/>
          <w:sz w:val="15"/>
          <w:szCs w:val="15"/>
          <w:color w:val="auto"/>
        </w:rPr>
        <w:t>The following table sets forth the cash and non-cash compensation paid by the Company during the years ended December 31, 2016, December 31, 2017 and December 31, 2018 to its named executive officers.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Non-Equity</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6"/>
              </w:rPr>
              <w:t>Stock</w:t>
            </w:r>
          </w:p>
        </w:tc>
        <w:tc>
          <w:tcPr>
            <w:tcW w:w="9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Incentive Plan</w:t>
            </w:r>
          </w:p>
        </w:tc>
        <w:tc>
          <w:tcPr>
            <w:tcW w:w="780" w:type="dxa"/>
            <w:vAlign w:val="bottom"/>
          </w:tcPr>
          <w:p>
            <w:pPr>
              <w:jc w:val="center"/>
              <w:ind w:right="23"/>
              <w:spacing w:after="0"/>
              <w:rPr>
                <w:sz w:val="20"/>
                <w:szCs w:val="20"/>
                <w:color w:val="auto"/>
              </w:rPr>
            </w:pPr>
            <w:r>
              <w:rPr>
                <w:rFonts w:ascii="Arial" w:cs="Arial" w:eastAsia="Arial" w:hAnsi="Arial"/>
                <w:sz w:val="11"/>
                <w:szCs w:val="11"/>
                <w:b w:val="1"/>
                <w:bCs w:val="1"/>
                <w:color w:val="auto"/>
                <w:w w:val="98"/>
              </w:rPr>
              <w:t>All Other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03"/>
              <w:spacing w:after="0"/>
              <w:rPr>
                <w:sz w:val="20"/>
                <w:szCs w:val="20"/>
                <w:color w:val="auto"/>
              </w:rPr>
            </w:pPr>
            <w:r>
              <w:rPr>
                <w:rFonts w:ascii="Arial" w:cs="Arial" w:eastAsia="Arial" w:hAnsi="Arial"/>
                <w:sz w:val="11"/>
                <w:szCs w:val="11"/>
                <w:b w:val="1"/>
                <w:bCs w:val="1"/>
                <w:color w:val="auto"/>
              </w:rPr>
              <w:t>Salary</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23"/>
              <w:spacing w:after="0"/>
              <w:rPr>
                <w:sz w:val="20"/>
                <w:szCs w:val="20"/>
                <w:color w:val="auto"/>
              </w:rPr>
            </w:pPr>
            <w:r>
              <w:rPr>
                <w:rFonts w:ascii="Arial" w:cs="Arial" w:eastAsia="Arial" w:hAnsi="Arial"/>
                <w:sz w:val="11"/>
                <w:szCs w:val="11"/>
                <w:b w:val="1"/>
                <w:bCs w:val="1"/>
                <w:color w:val="auto"/>
                <w:w w:val="99"/>
              </w:rPr>
              <w:t>Bonus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Awards</w:t>
            </w:r>
          </w:p>
        </w:tc>
        <w:tc>
          <w:tcPr>
            <w:tcW w:w="9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Compensation</w:t>
            </w:r>
          </w:p>
        </w:tc>
        <w:tc>
          <w:tcPr>
            <w:tcW w:w="780" w:type="dxa"/>
            <w:vAlign w:val="bottom"/>
          </w:tcPr>
          <w:p>
            <w:pPr>
              <w:jc w:val="center"/>
              <w:ind w:right="23"/>
              <w:spacing w:after="0"/>
              <w:rPr>
                <w:sz w:val="20"/>
                <w:szCs w:val="20"/>
                <w:color w:val="auto"/>
              </w:rPr>
            </w:pPr>
            <w:r>
              <w:rPr>
                <w:rFonts w:ascii="Arial" w:cs="Arial" w:eastAsia="Arial" w:hAnsi="Arial"/>
                <w:sz w:val="11"/>
                <w:szCs w:val="11"/>
                <w:b w:val="1"/>
                <w:bCs w:val="1"/>
                <w:color w:val="auto"/>
                <w:w w:val="91"/>
              </w:rPr>
              <w:t>Compensation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7"/>
        </w:trPr>
        <w:tc>
          <w:tcPr>
            <w:tcW w:w="3560" w:type="dxa"/>
            <w:vAlign w:val="bottom"/>
            <w:gridSpan w:val="4"/>
          </w:tcPr>
          <w:p>
            <w:pPr>
              <w:spacing w:after="0"/>
              <w:rPr>
                <w:sz w:val="20"/>
                <w:szCs w:val="20"/>
                <w:color w:val="auto"/>
              </w:rPr>
            </w:pPr>
            <w:r>
              <w:rPr>
                <w:rFonts w:ascii="Arial" w:cs="Arial" w:eastAsia="Arial" w:hAnsi="Arial"/>
                <w:sz w:val="11"/>
                <w:szCs w:val="11"/>
                <w:b w:val="1"/>
                <w:bCs w:val="1"/>
                <w:color w:val="auto"/>
              </w:rPr>
              <w:t>Name and Principal Position</w:t>
            </w:r>
          </w:p>
        </w:tc>
        <w:tc>
          <w:tcPr>
            <w:tcW w:w="140" w:type="dxa"/>
            <w:vAlign w:val="bottom"/>
          </w:tcPr>
          <w:p>
            <w:pPr>
              <w:spacing w:after="0"/>
              <w:rPr>
                <w:sz w:val="11"/>
                <w:szCs w:val="11"/>
                <w:color w:val="auto"/>
              </w:rPr>
            </w:pPr>
          </w:p>
        </w:tc>
        <w:tc>
          <w:tcPr>
            <w:tcW w:w="500" w:type="dxa"/>
            <w:vAlign w:val="bottom"/>
            <w:gridSpan w:val="2"/>
          </w:tcPr>
          <w:p>
            <w:pPr>
              <w:ind w:left="60"/>
              <w:spacing w:after="0"/>
              <w:rPr>
                <w:sz w:val="20"/>
                <w:szCs w:val="20"/>
                <w:color w:val="auto"/>
              </w:rPr>
            </w:pPr>
            <w:r>
              <w:rPr>
                <w:rFonts w:ascii="Arial" w:cs="Arial" w:eastAsia="Arial" w:hAnsi="Arial"/>
                <w:sz w:val="11"/>
                <w:szCs w:val="11"/>
                <w:b w:val="1"/>
                <w:bCs w:val="1"/>
                <w:color w:val="auto"/>
              </w:rPr>
              <w:t>Year</w:t>
            </w:r>
          </w:p>
        </w:tc>
        <w:tc>
          <w:tcPr>
            <w:tcW w:w="100" w:type="dxa"/>
            <w:vAlign w:val="bottom"/>
          </w:tcPr>
          <w:p>
            <w:pPr>
              <w:spacing w:after="0"/>
              <w:rPr>
                <w:sz w:val="11"/>
                <w:szCs w:val="11"/>
                <w:color w:val="auto"/>
              </w:rPr>
            </w:pPr>
          </w:p>
        </w:tc>
        <w:tc>
          <w:tcPr>
            <w:tcW w:w="540" w:type="dxa"/>
            <w:vAlign w:val="bottom"/>
          </w:tcPr>
          <w:p>
            <w:pPr>
              <w:jc w:val="right"/>
              <w:ind w:right="20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20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43"/>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1"/>
                <w:szCs w:val="11"/>
                <w:color w:val="auto"/>
              </w:rPr>
            </w:pPr>
          </w:p>
        </w:tc>
        <w:tc>
          <w:tcPr>
            <w:tcW w:w="780" w:type="dxa"/>
            <w:vAlign w:val="bottom"/>
          </w:tcPr>
          <w:p>
            <w:pPr>
              <w:jc w:val="center"/>
              <w:ind w:right="23"/>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1"/>
                <w:szCs w:val="11"/>
                <w:color w:val="auto"/>
              </w:rPr>
            </w:pPr>
          </w:p>
        </w:tc>
        <w:tc>
          <w:tcPr>
            <w:tcW w:w="780" w:type="dxa"/>
            <w:vAlign w:val="bottom"/>
          </w:tcPr>
          <w:p>
            <w:pPr>
              <w:jc w:val="center"/>
              <w:ind w:right="23"/>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8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138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Douglas A. Cifu</w:t>
            </w:r>
          </w:p>
        </w:tc>
        <w:tc>
          <w:tcPr>
            <w:tcW w:w="2160" w:type="dxa"/>
            <w:vAlign w:val="bottom"/>
            <w:gridSpan w:val="2"/>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2018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1,000,000</w:t>
            </w:r>
          </w:p>
        </w:tc>
        <w:tc>
          <w:tcPr>
            <w:tcW w:w="24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20"/>
              <w:spacing w:after="0" w:line="117" w:lineRule="exact"/>
              <w:rPr>
                <w:sz w:val="20"/>
                <w:szCs w:val="20"/>
                <w:color w:val="auto"/>
              </w:rPr>
            </w:pPr>
            <w:r>
              <w:rPr>
                <w:rFonts w:ascii="Arial" w:cs="Arial" w:eastAsia="Arial" w:hAnsi="Arial"/>
                <w:sz w:val="11"/>
                <w:szCs w:val="11"/>
                <w:color w:val="auto"/>
              </w:rPr>
              <w:t>400,000(1)$</w:t>
            </w:r>
          </w:p>
        </w:tc>
        <w:tc>
          <w:tcPr>
            <w:tcW w:w="760" w:type="dxa"/>
            <w:vAlign w:val="bottom"/>
            <w:tcBorders>
              <w:right w:val="single" w:sz="8" w:color="CCEEFF"/>
            </w:tcBorders>
            <w:gridSpan w:val="2"/>
            <w:shd w:val="clear" w:color="auto" w:fill="CCEEFF"/>
          </w:tcPr>
          <w:p>
            <w:pPr>
              <w:jc w:val="right"/>
              <w:ind w:right="20"/>
              <w:spacing w:after="0" w:line="117" w:lineRule="exact"/>
              <w:rPr>
                <w:sz w:val="20"/>
                <w:szCs w:val="20"/>
                <w:color w:val="auto"/>
              </w:rPr>
            </w:pPr>
            <w:r>
              <w:rPr>
                <w:rFonts w:ascii="Arial" w:cs="Arial" w:eastAsia="Arial" w:hAnsi="Arial"/>
                <w:sz w:val="11"/>
                <w:szCs w:val="11"/>
                <w:color w:val="auto"/>
              </w:rPr>
              <w:t>5,298,240(2)$</w:t>
            </w:r>
          </w:p>
        </w:tc>
        <w:tc>
          <w:tcPr>
            <w:tcW w:w="980" w:type="dxa"/>
            <w:vAlign w:val="bottom"/>
            <w:tcBorders>
              <w:right w:val="single" w:sz="8" w:color="CCEEFF"/>
            </w:tcBorders>
            <w:gridSpan w:val="2"/>
            <w:shd w:val="clear" w:color="auto" w:fill="CCEEFF"/>
          </w:tcPr>
          <w:p>
            <w:pPr>
              <w:jc w:val="right"/>
              <w:spacing w:after="0" w:line="117" w:lineRule="exact"/>
              <w:rPr>
                <w:sz w:val="20"/>
                <w:szCs w:val="20"/>
                <w:color w:val="auto"/>
              </w:rPr>
            </w:pPr>
            <w:r>
              <w:rPr>
                <w:rFonts w:ascii="Arial" w:cs="Arial" w:eastAsia="Arial" w:hAnsi="Arial"/>
                <w:sz w:val="11"/>
                <w:szCs w:val="11"/>
                <w:color w:val="auto"/>
              </w:rPr>
              <w:t>2,000,000(3)$</w:t>
            </w:r>
          </w:p>
        </w:tc>
        <w:tc>
          <w:tcPr>
            <w:tcW w:w="1020" w:type="dxa"/>
            <w:vAlign w:val="bottom"/>
            <w:gridSpan w:val="3"/>
            <w:shd w:val="clear" w:color="auto" w:fill="CCEEFF"/>
          </w:tcPr>
          <w:p>
            <w:pPr>
              <w:jc w:val="right"/>
              <w:ind w:right="60"/>
              <w:spacing w:after="0" w:line="117" w:lineRule="exact"/>
              <w:rPr>
                <w:sz w:val="20"/>
                <w:szCs w:val="20"/>
                <w:color w:val="auto"/>
              </w:rPr>
            </w:pPr>
            <w:r>
              <w:rPr>
                <w:rFonts w:ascii="Arial" w:cs="Arial" w:eastAsia="Arial" w:hAnsi="Arial"/>
                <w:sz w:val="11"/>
                <w:szCs w:val="11"/>
                <w:color w:val="auto"/>
              </w:rPr>
              <w:t>71,367(4)$</w:t>
            </w:r>
          </w:p>
        </w:tc>
        <w:tc>
          <w:tcPr>
            <w:tcW w:w="5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8,769,607</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3"/>
            <w:shd w:val="clear" w:color="auto" w:fill="CCEEFF"/>
          </w:tcPr>
          <w:p>
            <w:pPr>
              <w:ind w:left="100"/>
              <w:spacing w:after="0"/>
              <w:rPr>
                <w:sz w:val="20"/>
                <w:szCs w:val="20"/>
                <w:color w:val="auto"/>
              </w:rPr>
            </w:pPr>
            <w:r>
              <w:rPr>
                <w:rFonts w:ascii="Arial" w:cs="Arial" w:eastAsia="Arial" w:hAnsi="Arial"/>
                <w:sz w:val="11"/>
                <w:szCs w:val="11"/>
                <w:i w:val="1"/>
                <w:iCs w:val="1"/>
                <w:color w:val="auto"/>
              </w:rPr>
              <w:t>Chief Executive Officer</w:t>
            </w:r>
          </w:p>
        </w:tc>
        <w:tc>
          <w:tcPr>
            <w:tcW w:w="1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1,500,000(5)</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72,854(4)$</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3,572,854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86,089(4)$</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1,086,089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560" w:type="dxa"/>
            <w:vAlign w:val="bottom"/>
            <w:gridSpan w:val="4"/>
          </w:tcPr>
          <w:p>
            <w:pPr>
              <w:spacing w:after="0"/>
              <w:rPr>
                <w:sz w:val="20"/>
                <w:szCs w:val="20"/>
                <w:color w:val="auto"/>
              </w:rPr>
            </w:pPr>
            <w:r>
              <w:rPr>
                <w:rFonts w:ascii="Arial" w:cs="Arial" w:eastAsia="Arial" w:hAnsi="Arial"/>
                <w:sz w:val="11"/>
                <w:szCs w:val="11"/>
                <w:b w:val="1"/>
                <w:bCs w:val="1"/>
                <w:color w:val="auto"/>
              </w:rPr>
              <w:t>Joseph Molluso</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500,000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700,000</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4,993,812(6)</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6,193,812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3"/>
          </w:tcPr>
          <w:p>
            <w:pPr>
              <w:ind w:left="100"/>
              <w:spacing w:after="0"/>
              <w:rPr>
                <w:sz w:val="20"/>
                <w:szCs w:val="20"/>
                <w:color w:val="auto"/>
              </w:rPr>
            </w:pPr>
            <w:r>
              <w:rPr>
                <w:rFonts w:ascii="Arial" w:cs="Arial" w:eastAsia="Arial" w:hAnsi="Arial"/>
                <w:sz w:val="11"/>
                <w:szCs w:val="11"/>
                <w:i w:val="1"/>
                <w:iCs w:val="1"/>
                <w:color w:val="auto"/>
              </w:rPr>
              <w:t>Executive Vice President and</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500,000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700,000</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1,050,000(7)</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2,250,000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3"/>
          </w:tcPr>
          <w:p>
            <w:pPr>
              <w:ind w:left="100"/>
              <w:spacing w:after="0"/>
              <w:rPr>
                <w:sz w:val="20"/>
                <w:szCs w:val="20"/>
                <w:color w:val="auto"/>
              </w:rPr>
            </w:pPr>
            <w:r>
              <w:rPr>
                <w:rFonts w:ascii="Arial" w:cs="Arial" w:eastAsia="Arial" w:hAnsi="Arial"/>
                <w:sz w:val="11"/>
                <w:szCs w:val="11"/>
                <w:i w:val="1"/>
                <w:iCs w:val="1"/>
                <w:color w:val="auto"/>
              </w:rPr>
              <w:t>Chief Financial Officer</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500,000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750,000</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735,415(8)</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1,985,415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Stephen Cavoli</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320,000(9)</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1,200,000</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3"/>
            <w:shd w:val="clear" w:color="auto" w:fill="CCEEFF"/>
          </w:tcPr>
          <w:p>
            <w:pPr>
              <w:ind w:left="100"/>
              <w:spacing w:after="0"/>
              <w:rPr>
                <w:sz w:val="20"/>
                <w:szCs w:val="20"/>
                <w:color w:val="auto"/>
              </w:rPr>
            </w:pPr>
            <w:r>
              <w:rPr>
                <w:rFonts w:ascii="Arial" w:cs="Arial" w:eastAsia="Arial" w:hAnsi="Arial"/>
                <w:sz w:val="11"/>
                <w:szCs w:val="11"/>
                <w:i w:val="1"/>
                <w:iCs w:val="1"/>
                <w:color w:val="auto"/>
              </w:rPr>
              <w:t>Executive Vice President, Markets</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400,000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800,000</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00" w:hanging="464"/>
        <w:spacing w:after="0" w:line="275" w:lineRule="auto"/>
        <w:tabs>
          <w:tab w:leader="none" w:pos="16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This amount represents 50% of the portion of Mr. Cifu's annual bonus that was based on the achievement of qualitative goals. The remaining 50% was paid in the form of restricted stock units and fully vested shares of our Class A common stock which are reflected in the "Stock Awards" column in the table above.</w:t>
      </w:r>
    </w:p>
    <w:p>
      <w:pPr>
        <w:spacing w:after="0" w:line="76" w:lineRule="exact"/>
        <w:rPr>
          <w:rFonts w:ascii="Arial" w:cs="Arial" w:eastAsia="Arial" w:hAnsi="Arial"/>
          <w:sz w:val="11"/>
          <w:szCs w:val="11"/>
          <w:color w:val="auto"/>
        </w:rPr>
      </w:pPr>
    </w:p>
    <w:p>
      <w:pPr>
        <w:ind w:left="1600" w:right="60" w:hanging="464"/>
        <w:spacing w:after="0" w:line="251" w:lineRule="auto"/>
        <w:tabs>
          <w:tab w:leader="none" w:pos="16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This amount represents the grant date fair value calculated in accordance with FASB ASC Topic 718 with respect to (i) the grant of restricted shares, (ii) the grant of restricted stock units and (iii) fully vested shares of our Class A common stock. Assumptions used in calculating these amounts are described in Note 17 of the Company's audited financial statements for the fiscal year ended December 31, 2018 included in our Annual Report on Form 10-K for the fiscal year ended December 31, 2018. The grant of restricted stock units and fully vested shares of our Class A common stock relate to the settlement of Mr. Cifu's 2018 annual bonus, however, the awards were actually granted in fiscal year 2019.</w:t>
      </w:r>
    </w:p>
    <w:p>
      <w:pPr>
        <w:spacing w:after="0" w:line="88" w:lineRule="exact"/>
        <w:rPr>
          <w:rFonts w:ascii="Arial" w:cs="Arial" w:eastAsia="Arial" w:hAnsi="Arial"/>
          <w:sz w:val="11"/>
          <w:szCs w:val="11"/>
          <w:color w:val="auto"/>
        </w:rPr>
      </w:pPr>
    </w:p>
    <w:p>
      <w:pPr>
        <w:ind w:left="1600" w:right="80" w:hanging="464"/>
        <w:spacing w:after="0" w:line="275" w:lineRule="auto"/>
        <w:tabs>
          <w:tab w:leader="none" w:pos="16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This amount represents 50% of the portion of Mr. Cifu's annual bonus that was based on achievement of performance goals. The remaining 50% was paid in the form of restricted stock units and fully vested shares of our Class A common stock which are reflected in the "Stock Awards" column in the table above.</w:t>
      </w:r>
    </w:p>
    <w:p>
      <w:pPr>
        <w:spacing w:after="0" w:line="76" w:lineRule="exact"/>
        <w:rPr>
          <w:rFonts w:ascii="Arial" w:cs="Arial" w:eastAsia="Arial" w:hAnsi="Arial"/>
          <w:sz w:val="11"/>
          <w:szCs w:val="11"/>
          <w:color w:val="auto"/>
        </w:rPr>
      </w:pPr>
    </w:p>
    <w:p>
      <w:pPr>
        <w:ind w:left="1600" w:hanging="464"/>
        <w:spacing w:after="0"/>
        <w:tabs>
          <w:tab w:leader="none" w:pos="16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This amount represents the cost of providing transportation services to Mr. Cifu.</w:t>
      </w:r>
    </w:p>
    <w:p>
      <w:pPr>
        <w:spacing w:after="0" w:line="113" w:lineRule="exact"/>
        <w:rPr>
          <w:rFonts w:ascii="Arial" w:cs="Arial" w:eastAsia="Arial" w:hAnsi="Arial"/>
          <w:sz w:val="11"/>
          <w:szCs w:val="11"/>
          <w:color w:val="auto"/>
        </w:rPr>
      </w:pPr>
    </w:p>
    <w:p>
      <w:pPr>
        <w:ind w:left="1600" w:right="60" w:hanging="464"/>
        <w:spacing w:after="0" w:line="251" w:lineRule="auto"/>
        <w:tabs>
          <w:tab w:leader="none" w:pos="16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16 of the Company's audited financial statements for the fiscal year ended December 31, 2017 included in our Annual Report on Form 10-K for the fiscal year ended December 31, 2017. The grant of restricted stock units and fully vested shares of our Class A common stock relate to the settlement of Mr. Cifu's 2017 annual bonus, however, the awards were actually granted in fiscal year 2018.</w:t>
      </w:r>
    </w:p>
    <w:p>
      <w:pPr>
        <w:spacing w:after="0" w:line="88" w:lineRule="exact"/>
        <w:rPr>
          <w:rFonts w:ascii="Arial" w:cs="Arial" w:eastAsia="Arial" w:hAnsi="Arial"/>
          <w:sz w:val="11"/>
          <w:szCs w:val="11"/>
          <w:color w:val="auto"/>
        </w:rPr>
      </w:pPr>
    </w:p>
    <w:p>
      <w:pPr>
        <w:ind w:left="1600" w:right="60" w:hanging="464"/>
        <w:spacing w:after="0" w:line="251" w:lineRule="auto"/>
        <w:tabs>
          <w:tab w:leader="none" w:pos="16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17 of the Company's audited financial statements for the fiscal year ended December 31, 2018 included in our Annual Report on Form 10-K for the fiscal year ended December 31, 2018. The grant of restricted stock units and fully vested shares of our Class A common stock relate to the settlement of Mr. Molluso's 2018 annual bonus, however, the awards were actually granted in fiscal year 2019.</w:t>
      </w:r>
    </w:p>
    <w:p>
      <w:pPr>
        <w:spacing w:after="0" w:line="88" w:lineRule="exact"/>
        <w:rPr>
          <w:rFonts w:ascii="Arial" w:cs="Arial" w:eastAsia="Arial" w:hAnsi="Arial"/>
          <w:sz w:val="11"/>
          <w:szCs w:val="11"/>
          <w:color w:val="auto"/>
        </w:rPr>
      </w:pPr>
    </w:p>
    <w:p>
      <w:pPr>
        <w:ind w:left="1600" w:right="60" w:hanging="464"/>
        <w:spacing w:after="0" w:line="251" w:lineRule="auto"/>
        <w:tabs>
          <w:tab w:leader="none" w:pos="16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16 of the Company's audited financial statements for the fiscal year ended December 31, 2017 included in our Annual Report on Form 10-K for the fiscal year ended December 31, 2017. The grant of restricted stock units and fully vested shares of our Class A common stock relate to the settlement of Mr. Molluso's 2017 annual bonus, however, the awards were actually granted in fiscal year 2018.</w:t>
      </w:r>
    </w:p>
    <w:p>
      <w:pPr>
        <w:spacing w:after="0" w:line="88" w:lineRule="exact"/>
        <w:rPr>
          <w:rFonts w:ascii="Arial" w:cs="Arial" w:eastAsia="Arial" w:hAnsi="Arial"/>
          <w:sz w:val="11"/>
          <w:szCs w:val="11"/>
          <w:color w:val="auto"/>
        </w:rPr>
      </w:pPr>
    </w:p>
    <w:p>
      <w:pPr>
        <w:ind w:left="1600" w:right="60" w:hanging="464"/>
        <w:spacing w:after="0" w:line="251" w:lineRule="auto"/>
        <w:tabs>
          <w:tab w:leader="none" w:pos="16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14 of the Company's audited financial statements for the fiscal year ended December 31, 2016 included in our Annual Report on Form 10-K for the fiscal year ended December 31, 2016. The grant of restricted stock units and fully vested shares of our Class A common stock relate to the settlement of Mr. Molluso's 2016 annual bonus, however, the awards were actually granted in fiscal year 2017.</w:t>
      </w:r>
    </w:p>
    <w:p>
      <w:pPr>
        <w:spacing w:after="0" w:line="88" w:lineRule="exact"/>
        <w:rPr>
          <w:rFonts w:ascii="Arial" w:cs="Arial" w:eastAsia="Arial" w:hAnsi="Arial"/>
          <w:sz w:val="11"/>
          <w:szCs w:val="11"/>
          <w:color w:val="auto"/>
        </w:rPr>
      </w:pPr>
    </w:p>
    <w:p>
      <w:pPr>
        <w:ind w:left="1600" w:right="60" w:hanging="464"/>
        <w:spacing w:after="0" w:line="257" w:lineRule="auto"/>
        <w:tabs>
          <w:tab w:leader="none" w:pos="16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17 of the Company's audited financial statements for the fiscal year ended December 31, 2018 included in our Annual Report on Form 10-K for the fiscal year ended December 31, 2018. The grant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2" w:lineRule="exact"/>
        <w:rPr>
          <w:sz w:val="20"/>
          <w:szCs w:val="20"/>
          <w:color w:val="auto"/>
        </w:rPr>
      </w:pPr>
    </w:p>
    <w:p>
      <w:pPr>
        <w:ind w:left="1600"/>
        <w:spacing w:after="0"/>
        <w:rPr>
          <w:sz w:val="20"/>
          <w:szCs w:val="20"/>
          <w:color w:val="auto"/>
        </w:rPr>
      </w:pPr>
      <w:r>
        <w:rPr>
          <w:rFonts w:ascii="Arial" w:cs="Arial" w:eastAsia="Arial" w:hAnsi="Arial"/>
          <w:sz w:val="11"/>
          <w:szCs w:val="11"/>
          <w:color w:val="auto"/>
        </w:rPr>
        <w:t>of restricted stock units and fully vested shares of our Class A common stock relate to the settlement of Mr. Cavoli's 2018 annual bonus, however, the awards were actually granted in fiscal year 2019.</w:t>
      </w:r>
    </w:p>
    <w:p>
      <w:pPr>
        <w:spacing w:after="0" w:line="36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Grants of Plan-Based Awards in 2018 Fiscal Year</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information with respect to each award made to our named executive officers in 2018.</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gridSpan w:val="6"/>
          </w:tcPr>
          <w:p>
            <w:pPr>
              <w:jc w:val="center"/>
              <w:spacing w:after="0"/>
              <w:rPr>
                <w:sz w:val="20"/>
                <w:szCs w:val="20"/>
                <w:color w:val="auto"/>
              </w:rPr>
            </w:pPr>
            <w:r>
              <w:rPr>
                <w:rFonts w:ascii="Arial" w:cs="Arial" w:eastAsia="Arial" w:hAnsi="Arial"/>
                <w:sz w:val="11"/>
                <w:szCs w:val="11"/>
                <w:b w:val="1"/>
                <w:bCs w:val="1"/>
                <w:color w:val="auto"/>
                <w:w w:val="89"/>
              </w:rPr>
              <w:t>Estimated Possible Payouts</w:t>
            </w:r>
          </w:p>
        </w:tc>
        <w:tc>
          <w:tcPr>
            <w:tcW w:w="140" w:type="dxa"/>
            <w:vAlign w:val="bottom"/>
          </w:tcPr>
          <w:p>
            <w:pPr>
              <w:spacing w:after="0"/>
              <w:rPr>
                <w:sz w:val="10"/>
                <w:szCs w:val="10"/>
                <w:color w:val="auto"/>
              </w:rPr>
            </w:pPr>
          </w:p>
        </w:tc>
        <w:tc>
          <w:tcPr>
            <w:tcW w:w="1960" w:type="dxa"/>
            <w:vAlign w:val="bottom"/>
            <w:gridSpan w:val="5"/>
          </w:tcPr>
          <w:p>
            <w:pPr>
              <w:jc w:val="center"/>
              <w:spacing w:after="0"/>
              <w:rPr>
                <w:sz w:val="20"/>
                <w:szCs w:val="20"/>
                <w:color w:val="auto"/>
              </w:rPr>
            </w:pPr>
            <w:r>
              <w:rPr>
                <w:rFonts w:ascii="Arial" w:cs="Arial" w:eastAsia="Arial" w:hAnsi="Arial"/>
                <w:sz w:val="11"/>
                <w:szCs w:val="11"/>
                <w:b w:val="1"/>
                <w:bCs w:val="1"/>
                <w:color w:val="auto"/>
                <w:w w:val="91"/>
              </w:rPr>
              <w:t>Estimated Possible Payouts</w:t>
            </w:r>
          </w:p>
        </w:tc>
        <w:tc>
          <w:tcPr>
            <w:tcW w:w="1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8"/>
              </w:rPr>
              <w:t>All Other</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5"/>
          </w:tcPr>
          <w:p>
            <w:pPr>
              <w:jc w:val="center"/>
              <w:ind w:left="523"/>
              <w:spacing w:after="0"/>
              <w:rPr>
                <w:sz w:val="20"/>
                <w:szCs w:val="20"/>
                <w:color w:val="auto"/>
              </w:rPr>
            </w:pPr>
            <w:r>
              <w:rPr>
                <w:rFonts w:ascii="Arial" w:cs="Arial" w:eastAsia="Arial" w:hAnsi="Arial"/>
                <w:sz w:val="11"/>
                <w:szCs w:val="11"/>
                <w:b w:val="1"/>
                <w:bCs w:val="1"/>
                <w:color w:val="auto"/>
                <w:w w:val="98"/>
              </w:rPr>
              <w:t>Under Non-Equity</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60" w:type="dxa"/>
            <w:vAlign w:val="bottom"/>
            <w:gridSpan w:val="5"/>
          </w:tcPr>
          <w:p>
            <w:pPr>
              <w:jc w:val="center"/>
              <w:spacing w:after="0"/>
              <w:rPr>
                <w:sz w:val="20"/>
                <w:szCs w:val="20"/>
                <w:color w:val="auto"/>
              </w:rPr>
            </w:pPr>
            <w:r>
              <w:rPr>
                <w:rFonts w:ascii="Arial" w:cs="Arial" w:eastAsia="Arial" w:hAnsi="Arial"/>
                <w:sz w:val="11"/>
                <w:szCs w:val="11"/>
                <w:b w:val="1"/>
                <w:bCs w:val="1"/>
                <w:color w:val="auto"/>
                <w:w w:val="95"/>
              </w:rPr>
              <w:t>Under Equity Incentive</w:t>
            </w:r>
          </w:p>
        </w:tc>
        <w:tc>
          <w:tcPr>
            <w:tcW w:w="1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1"/>
              </w:rPr>
              <w:t>Stock Awards: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Grant Date</w:t>
            </w:r>
          </w:p>
        </w:tc>
      </w:tr>
      <w:tr>
        <w:trPr>
          <w:trHeight w:val="13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w w:val="95"/>
              </w:rPr>
              <w:t>Incentive Plan Awards</w:t>
            </w:r>
          </w:p>
        </w:tc>
        <w:tc>
          <w:tcPr>
            <w:tcW w:w="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3"/>
              </w:rPr>
              <w:t>Plan Awards</w:t>
            </w: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Fair Value</w:t>
            </w: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center"/>
              <w:spacing w:after="0" w:line="95" w:lineRule="exact"/>
              <w:rPr>
                <w:sz w:val="20"/>
                <w:szCs w:val="20"/>
                <w:color w:val="auto"/>
              </w:rPr>
            </w:pPr>
            <w:r>
              <w:rPr>
                <w:rFonts w:ascii="Arial" w:cs="Arial" w:eastAsia="Arial" w:hAnsi="Arial"/>
                <w:sz w:val="11"/>
                <w:szCs w:val="11"/>
                <w:b w:val="1"/>
                <w:bCs w:val="1"/>
                <w:color w:val="auto"/>
                <w:w w:val="91"/>
              </w:rPr>
              <w:t>Shares of</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center"/>
              <w:ind w:right="200"/>
              <w:spacing w:after="0" w:line="95" w:lineRule="exact"/>
              <w:rPr>
                <w:sz w:val="20"/>
                <w:szCs w:val="20"/>
                <w:color w:val="auto"/>
              </w:rPr>
            </w:pPr>
            <w:r>
              <w:rPr>
                <w:rFonts w:ascii="Arial" w:cs="Arial" w:eastAsia="Arial" w:hAnsi="Arial"/>
                <w:sz w:val="11"/>
                <w:szCs w:val="11"/>
                <w:b w:val="1"/>
                <w:bCs w:val="1"/>
                <w:color w:val="auto"/>
                <w:w w:val="92"/>
              </w:rPr>
              <w:t>of Stock</w:t>
            </w:r>
          </w:p>
        </w:tc>
      </w:tr>
      <w:tr>
        <w:trPr>
          <w:trHeight w:val="126"/>
        </w:trPr>
        <w:tc>
          <w:tcPr>
            <w:tcW w:w="2260" w:type="dxa"/>
            <w:vAlign w:val="bottom"/>
            <w:gridSpan w:val="4"/>
          </w:tcPr>
          <w:p>
            <w:pPr>
              <w:spacing w:after="0"/>
              <w:rPr>
                <w:sz w:val="20"/>
                <w:szCs w:val="20"/>
                <w:color w:val="auto"/>
              </w:rPr>
            </w:pPr>
            <w:r>
              <w:rPr>
                <w:rFonts w:ascii="Arial" w:cs="Arial" w:eastAsia="Arial" w:hAnsi="Arial"/>
                <w:sz w:val="11"/>
                <w:szCs w:val="11"/>
                <w:b w:val="1"/>
                <w:bCs w:val="1"/>
                <w:color w:val="auto"/>
              </w:rPr>
              <w:t>Name and Type of</w:t>
            </w:r>
          </w:p>
        </w:tc>
        <w:tc>
          <w:tcPr>
            <w:tcW w:w="140" w:type="dxa"/>
            <w:vAlign w:val="bottom"/>
          </w:tcPr>
          <w:p>
            <w:pPr>
              <w:spacing w:after="0"/>
              <w:rPr>
                <w:sz w:val="10"/>
                <w:szCs w:val="1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Grant</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Threshold</w:t>
            </w:r>
          </w:p>
        </w:tc>
        <w:tc>
          <w:tcPr>
            <w:tcW w:w="7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5"/>
              </w:rPr>
              <w:t>Target</w:t>
            </w:r>
          </w:p>
        </w:tc>
        <w:tc>
          <w:tcPr>
            <w:tcW w:w="580" w:type="dxa"/>
            <w:vAlign w:val="bottom"/>
          </w:tcPr>
          <w:p>
            <w:pPr>
              <w:jc w:val="right"/>
              <w:ind w:right="3"/>
              <w:spacing w:after="0"/>
              <w:rPr>
                <w:sz w:val="20"/>
                <w:szCs w:val="20"/>
                <w:color w:val="auto"/>
              </w:rPr>
            </w:pPr>
            <w:r>
              <w:rPr>
                <w:rFonts w:ascii="Arial" w:cs="Arial" w:eastAsia="Arial" w:hAnsi="Arial"/>
                <w:sz w:val="11"/>
                <w:szCs w:val="11"/>
                <w:b w:val="1"/>
                <w:bCs w:val="1"/>
                <w:color w:val="auto"/>
                <w:w w:val="98"/>
              </w:rPr>
              <w:t>Maximum</w:t>
            </w:r>
          </w:p>
        </w:tc>
        <w:tc>
          <w:tcPr>
            <w:tcW w:w="140" w:type="dxa"/>
            <w:vAlign w:val="bottom"/>
          </w:tcPr>
          <w:p>
            <w:pPr>
              <w:spacing w:after="0"/>
              <w:rPr>
                <w:sz w:val="10"/>
                <w:szCs w:val="10"/>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b w:val="1"/>
                <w:bCs w:val="1"/>
                <w:color w:val="auto"/>
              </w:rPr>
              <w:t>Threshold</w:t>
            </w:r>
          </w:p>
        </w:tc>
        <w:tc>
          <w:tcPr>
            <w:tcW w:w="140" w:type="dxa"/>
            <w:vAlign w:val="bottom"/>
          </w:tcPr>
          <w:p>
            <w:pPr>
              <w:spacing w:after="0"/>
              <w:rPr>
                <w:sz w:val="10"/>
                <w:szCs w:val="10"/>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Target</w:t>
            </w:r>
          </w:p>
        </w:tc>
        <w:tc>
          <w:tcPr>
            <w:tcW w:w="640" w:type="dxa"/>
            <w:vAlign w:val="bottom"/>
          </w:tcPr>
          <w:p>
            <w:pPr>
              <w:jc w:val="right"/>
              <w:ind w:right="3"/>
              <w:spacing w:after="0"/>
              <w:rPr>
                <w:sz w:val="20"/>
                <w:szCs w:val="20"/>
                <w:color w:val="auto"/>
              </w:rPr>
            </w:pPr>
            <w:r>
              <w:rPr>
                <w:rFonts w:ascii="Arial" w:cs="Arial" w:eastAsia="Arial" w:hAnsi="Arial"/>
                <w:sz w:val="11"/>
                <w:szCs w:val="11"/>
                <w:b w:val="1"/>
                <w:bCs w:val="1"/>
                <w:color w:val="auto"/>
              </w:rPr>
              <w:t>Maximum</w:t>
            </w:r>
          </w:p>
        </w:tc>
        <w:tc>
          <w:tcPr>
            <w:tcW w:w="1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2"/>
              </w:rPr>
              <w:t>Stock Units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Awards</w:t>
            </w:r>
          </w:p>
        </w:tc>
      </w:tr>
      <w:tr>
        <w:trPr>
          <w:trHeight w:val="137"/>
        </w:trPr>
        <w:tc>
          <w:tcPr>
            <w:tcW w:w="2260" w:type="dxa"/>
            <w:vAlign w:val="bottom"/>
            <w:gridSpan w:val="4"/>
          </w:tcPr>
          <w:p>
            <w:pPr>
              <w:spacing w:after="0"/>
              <w:rPr>
                <w:sz w:val="20"/>
                <w:szCs w:val="20"/>
                <w:color w:val="auto"/>
              </w:rPr>
            </w:pPr>
            <w:r>
              <w:rPr>
                <w:rFonts w:ascii="Arial" w:cs="Arial" w:eastAsia="Arial" w:hAnsi="Arial"/>
                <w:sz w:val="11"/>
                <w:szCs w:val="11"/>
                <w:b w:val="1"/>
                <w:bCs w:val="1"/>
                <w:color w:val="auto"/>
              </w:rPr>
              <w:t>Award</w:t>
            </w:r>
          </w:p>
        </w:tc>
        <w:tc>
          <w:tcPr>
            <w:tcW w:w="140" w:type="dxa"/>
            <w:vAlign w:val="bottom"/>
          </w:tcPr>
          <w:p>
            <w:pPr>
              <w:spacing w:after="0"/>
              <w:rPr>
                <w:sz w:val="11"/>
                <w:szCs w:val="11"/>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jc w:val="right"/>
              <w:ind w:right="18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203"/>
              <w:spacing w:after="0"/>
              <w:rPr>
                <w:sz w:val="20"/>
                <w:szCs w:val="20"/>
                <w:color w:val="auto"/>
              </w:rPr>
            </w:pPr>
            <w:r>
              <w:rPr>
                <w:rFonts w:ascii="Arial" w:cs="Arial" w:eastAsia="Arial" w:hAnsi="Arial"/>
                <w:sz w:val="11"/>
                <w:szCs w:val="11"/>
                <w:b w:val="1"/>
                <w:bCs w:val="1"/>
                <w:color w:val="auto"/>
              </w:rPr>
              <w:t>($)</w:t>
            </w:r>
          </w:p>
        </w:tc>
        <w:tc>
          <w:tcPr>
            <w:tcW w:w="76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tcPr>
          <w:p>
            <w:pPr>
              <w:jc w:val="center"/>
              <w:ind w:left="8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640" w:type="dxa"/>
            <w:vAlign w:val="bottom"/>
          </w:tcPr>
          <w:p>
            <w:pPr>
              <w:jc w:val="right"/>
              <w:ind w:right="203"/>
              <w:spacing w:after="0"/>
              <w:rPr>
                <w:sz w:val="20"/>
                <w:szCs w:val="20"/>
                <w:color w:val="auto"/>
              </w:rPr>
            </w:pPr>
            <w:r>
              <w:rPr>
                <w:rFonts w:ascii="Arial" w:cs="Arial" w:eastAsia="Arial" w:hAnsi="Arial"/>
                <w:sz w:val="11"/>
                <w:szCs w:val="11"/>
                <w:b w:val="1"/>
                <w:bCs w:val="1"/>
                <w:color w:val="auto"/>
              </w:rPr>
              <w:t>(#)</w:t>
            </w:r>
          </w:p>
        </w:tc>
        <w:tc>
          <w:tcPr>
            <w:tcW w:w="960" w:type="dxa"/>
            <w:vAlign w:val="bottom"/>
            <w:gridSpan w:val="2"/>
          </w:tcPr>
          <w:p>
            <w:pPr>
              <w:jc w:val="center"/>
              <w:ind w:left="8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6"/>
              </w:rPr>
              <w:t>($)(3)</w:t>
            </w:r>
          </w:p>
        </w:tc>
        <w:tc>
          <w:tcPr>
            <w:tcW w:w="140" w:type="dxa"/>
            <w:vAlign w:val="bottom"/>
          </w:tcPr>
          <w:p>
            <w:pPr>
              <w:spacing w:after="0"/>
              <w:rPr>
                <w:sz w:val="11"/>
                <w:szCs w:val="11"/>
                <w:color w:val="auto"/>
              </w:rPr>
            </w:pPr>
          </w:p>
        </w:tc>
      </w:tr>
      <w:tr>
        <w:trPr>
          <w:trHeight w:val="117"/>
        </w:trPr>
        <w:tc>
          <w:tcPr>
            <w:tcW w:w="20" w:type="dxa"/>
            <w:vAlign w:val="bottom"/>
          </w:tcPr>
          <w:p>
            <w:pPr>
              <w:spacing w:after="0"/>
              <w:rPr>
                <w:sz w:val="10"/>
                <w:szCs w:val="10"/>
                <w:color w:val="auto"/>
              </w:rPr>
            </w:pPr>
          </w:p>
        </w:tc>
        <w:tc>
          <w:tcPr>
            <w:tcW w:w="86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Douglas A. Cifu</w:t>
            </w:r>
          </w:p>
        </w:tc>
        <w:tc>
          <w:tcPr>
            <w:tcW w:w="1380" w:type="dxa"/>
            <w:vAlign w:val="bottom"/>
            <w:gridSpan w:val="2"/>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Annual Bonus</w:t>
            </w:r>
            <w:r>
              <w:rPr>
                <w:rFonts w:ascii="Arial" w:cs="Arial" w:eastAsia="Arial" w:hAnsi="Arial"/>
                <w:sz w:val="11"/>
                <w:szCs w:val="11"/>
                <w:color w:val="auto"/>
              </w:rPr>
              <w:t>(1)</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2,500,000</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5,000,000</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r>
      <w:tr>
        <w:trPr>
          <w:trHeight w:val="126"/>
        </w:trPr>
        <w:tc>
          <w:tcPr>
            <w:tcW w:w="20" w:type="dxa"/>
            <w:vAlign w:val="bottom"/>
          </w:tcPr>
          <w:p>
            <w:pPr>
              <w:spacing w:after="0"/>
              <w:rPr>
                <w:sz w:val="10"/>
                <w:szCs w:val="10"/>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Restricted Shares</w:t>
            </w:r>
            <w:r>
              <w:rPr>
                <w:rFonts w:ascii="Arial" w:cs="Arial" w:eastAsia="Arial" w:hAnsi="Arial"/>
                <w:sz w:val="11"/>
                <w:szCs w:val="11"/>
                <w:color w:val="auto"/>
              </w:rPr>
              <w:t>(2)</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2/2/2018</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75,000</w:t>
            </w:r>
          </w:p>
        </w:tc>
        <w:tc>
          <w:tcPr>
            <w:tcW w:w="1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150,000</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2,910,000</w:t>
            </w:r>
          </w:p>
        </w:tc>
        <w:tc>
          <w:tcPr>
            <w:tcW w:w="140" w:type="dxa"/>
            <w:vAlign w:val="bottom"/>
            <w:shd w:val="clear" w:color="auto" w:fill="CCEEFF"/>
          </w:tcPr>
          <w:p>
            <w:pPr>
              <w:spacing w:after="0"/>
              <w:rPr>
                <w:sz w:val="10"/>
                <w:szCs w:val="10"/>
                <w:color w:val="auto"/>
              </w:rPr>
            </w:pPr>
          </w:p>
        </w:tc>
      </w:tr>
      <w:tr>
        <w:trPr>
          <w:trHeight w:val="254"/>
        </w:trPr>
        <w:tc>
          <w:tcPr>
            <w:tcW w:w="2260" w:type="dxa"/>
            <w:vAlign w:val="bottom"/>
            <w:gridSpan w:val="4"/>
          </w:tcPr>
          <w:p>
            <w:pPr>
              <w:spacing w:after="0"/>
              <w:rPr>
                <w:sz w:val="20"/>
                <w:szCs w:val="20"/>
                <w:color w:val="auto"/>
              </w:rPr>
            </w:pPr>
            <w:r>
              <w:rPr>
                <w:rFonts w:ascii="Arial" w:cs="Arial" w:eastAsia="Arial" w:hAnsi="Arial"/>
                <w:sz w:val="11"/>
                <w:szCs w:val="11"/>
                <w:b w:val="1"/>
                <w:bCs w:val="1"/>
                <w:color w:val="auto"/>
              </w:rPr>
              <w:t>Joseph Molluso</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46"/>
        </w:trPr>
        <w:tc>
          <w:tcPr>
            <w:tcW w:w="2260" w:type="dxa"/>
            <w:vAlign w:val="bottom"/>
            <w:gridSpan w:val="4"/>
          </w:tcPr>
          <w:p>
            <w:pPr>
              <w:spacing w:after="0"/>
              <w:rPr>
                <w:sz w:val="20"/>
                <w:szCs w:val="20"/>
                <w:color w:val="auto"/>
              </w:rPr>
            </w:pPr>
            <w:r>
              <w:rPr>
                <w:rFonts w:ascii="Arial" w:cs="Arial" w:eastAsia="Arial" w:hAnsi="Arial"/>
                <w:sz w:val="11"/>
                <w:szCs w:val="11"/>
                <w:i w:val="1"/>
                <w:iCs w:val="1"/>
                <w:color w:val="auto"/>
              </w:rPr>
              <w:t>Restricted Stock Units</w:t>
            </w:r>
          </w:p>
        </w:tc>
        <w:tc>
          <w:tcPr>
            <w:tcW w:w="860" w:type="dxa"/>
            <w:vAlign w:val="bottom"/>
            <w:gridSpan w:val="3"/>
          </w:tcPr>
          <w:p>
            <w:pPr>
              <w:jc w:val="right"/>
              <w:ind w:right="140"/>
              <w:spacing w:after="0"/>
              <w:rPr>
                <w:sz w:val="20"/>
                <w:szCs w:val="20"/>
                <w:color w:val="auto"/>
              </w:rPr>
            </w:pPr>
            <w:r>
              <w:rPr>
                <w:rFonts w:ascii="Arial" w:cs="Arial" w:eastAsia="Arial" w:hAnsi="Arial"/>
                <w:sz w:val="11"/>
                <w:szCs w:val="11"/>
                <w:color w:val="auto"/>
              </w:rPr>
              <w:t>3/21/2018</w:t>
            </w: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120,000</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3,930,000</w:t>
            </w:r>
          </w:p>
        </w:tc>
        <w:tc>
          <w:tcPr>
            <w:tcW w:w="140" w:type="dxa"/>
            <w:vAlign w:val="bottom"/>
          </w:tcPr>
          <w:p>
            <w:pPr>
              <w:spacing w:after="0"/>
              <w:rPr>
                <w:sz w:val="12"/>
                <w:szCs w:val="12"/>
                <w:color w:val="auto"/>
              </w:rPr>
            </w:pPr>
          </w:p>
        </w:tc>
      </w:tr>
      <w:tr>
        <w:trPr>
          <w:trHeight w:val="80"/>
        </w:trPr>
        <w:tc>
          <w:tcPr>
            <w:tcW w:w="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163" w:lineRule="exact"/>
        <w:rPr>
          <w:sz w:val="20"/>
          <w:szCs w:val="20"/>
          <w:color w:val="auto"/>
        </w:rPr>
      </w:pPr>
    </w:p>
    <w:p>
      <w:pPr>
        <w:ind w:left="1600" w:hanging="464"/>
        <w:spacing w:after="0"/>
        <w:tabs>
          <w:tab w:leader="none" w:pos="1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This bonus, to the extent earned, is settled 50% in cash, 30% in restricted shares that vest in three equal annual installments and 20% in fully vested common stock.</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See "Cifu Annual Equity Award" above for further discussion on the performance and vesting conditions applicable to these shares.</w:t>
      </w:r>
    </w:p>
    <w:p>
      <w:pPr>
        <w:spacing w:after="0" w:line="113" w:lineRule="exact"/>
        <w:rPr>
          <w:rFonts w:ascii="Arial" w:cs="Arial" w:eastAsia="Arial" w:hAnsi="Arial"/>
          <w:sz w:val="11"/>
          <w:szCs w:val="11"/>
          <w:color w:val="auto"/>
        </w:rPr>
      </w:pPr>
    </w:p>
    <w:p>
      <w:pPr>
        <w:ind w:left="1600" w:hanging="464"/>
        <w:spacing w:after="0" w:line="275" w:lineRule="auto"/>
        <w:tabs>
          <w:tab w:leader="none" w:pos="1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Company made certain equity grants in 2018 that are not reportable in this table because they were awarded in settlement of the named executive officers' 2017 annual bonus. Those equity grants are reflected in the Summary Compensation Table above under the heading "Stock Awards" for fiscal year 2017.</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 and Restrictive Covenant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Employment Agreement with Mr. Cifu</w:t>
      </w:r>
    </w:p>
    <w:p>
      <w:pPr>
        <w:spacing w:after="0" w:line="194" w:lineRule="exact"/>
        <w:rPr>
          <w:sz w:val="20"/>
          <w:szCs w:val="20"/>
          <w:color w:val="auto"/>
        </w:rPr>
      </w:pPr>
    </w:p>
    <w:p>
      <w:pPr>
        <w:ind w:firstLine="298"/>
        <w:spacing w:after="0" w:line="300" w:lineRule="auto"/>
        <w:rPr>
          <w:sz w:val="20"/>
          <w:szCs w:val="20"/>
          <w:color w:val="auto"/>
        </w:rPr>
      </w:pPr>
      <w:r>
        <w:rPr>
          <w:rFonts w:ascii="Arial" w:cs="Arial" w:eastAsia="Arial" w:hAnsi="Arial"/>
          <w:sz w:val="13"/>
          <w:szCs w:val="13"/>
          <w:color w:val="auto"/>
        </w:rPr>
        <w:t>On November 15, 2017, we entered into a new employment agreement with Mr. Cifu, which amends and supersedes the terms of his prior employment agreement dated April 14, 2015, pursuant to which Mr. Cifu will continue to serve as our Chief Executive Officer and report to our board of directors. Mr. Cifu's duties, responsibilities and permitted activities are substantially identical to his original employment agreement. During the term, Mr. Cifu's principal place of employment is in our principal office in New York, New York. Mr. Cifu's employment agreement further provides that to the extent such activities do not significantly interfere with the performance of his duties, service and responsibilities, Mr. Cifu is permitted to manage his personal, financial and legal affairs, serve on civic or charitable boards and committees and, to the extent approved by our board of directors, serve on corporate boards and committees; provided that Mr. Cifu is permitted to continue to be engaged in, or provide services to, certain specified businesses and activities (including but not necessarily limited to his role as the Vice Chairman and Alternate Governor of the Florida Panthers, a National Hockey League franchise, and his role as a director of the Independent Bank Group, Inc., a regional bank holding company), and, to the extent such activities do not significantly interfere with the performance of his duties, service and responsibilities, to become engaged in, or provide services to, any other business or activity in which Mr. Vincent Viola, our Founder and Chairman Emeritus, is permitted to become engaged in, to the extent that Mr. Cifu's level of participation in such businesses or activities are consistent with his participation in the aforementioned specified businesses or activities prior to the effective date of the employment agreement.</w:t>
      </w:r>
    </w:p>
    <w:p>
      <w:pPr>
        <w:spacing w:after="0" w:line="146" w:lineRule="exact"/>
        <w:rPr>
          <w:sz w:val="20"/>
          <w:szCs w:val="20"/>
          <w:color w:val="auto"/>
        </w:rPr>
      </w:pPr>
    </w:p>
    <w:p>
      <w:pPr>
        <w:ind w:right="20" w:firstLine="295"/>
        <w:spacing w:after="0" w:line="265" w:lineRule="auto"/>
        <w:rPr>
          <w:sz w:val="20"/>
          <w:szCs w:val="20"/>
          <w:color w:val="auto"/>
        </w:rPr>
      </w:pPr>
      <w:r>
        <w:rPr>
          <w:rFonts w:ascii="Arial" w:cs="Arial" w:eastAsia="Arial" w:hAnsi="Arial"/>
          <w:sz w:val="15"/>
          <w:szCs w:val="15"/>
          <w:color w:val="auto"/>
        </w:rPr>
        <w:t>The employment agreement has an initial term of five years ending on November 15, 2022, with automatic renewals for successive one-year terms thereafter unless either we or the executive provides notice of non-renewal at least ninety days in advance of the expiration of the then-current term. However, if a change in control of the Company occurs at a time when there are less than two years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remaining in the term, the term will automatically be extended so that the expiration date is two years from the effective date of the change in control.</w:t>
      </w:r>
    </w:p>
    <w:p>
      <w:pPr>
        <w:spacing w:after="0" w:line="194" w:lineRule="exact"/>
        <w:rPr>
          <w:sz w:val="20"/>
          <w:szCs w:val="20"/>
          <w:color w:val="auto"/>
        </w:rPr>
      </w:pPr>
    </w:p>
    <w:p>
      <w:pPr>
        <w:ind w:right="60" w:firstLine="298"/>
        <w:spacing w:after="0" w:line="260" w:lineRule="auto"/>
        <w:rPr>
          <w:sz w:val="20"/>
          <w:szCs w:val="20"/>
          <w:color w:val="auto"/>
        </w:rPr>
      </w:pPr>
      <w:r>
        <w:rPr>
          <w:rFonts w:ascii="Arial" w:cs="Arial" w:eastAsia="Arial" w:hAnsi="Arial"/>
          <w:sz w:val="15"/>
          <w:szCs w:val="15"/>
          <w:color w:val="auto"/>
        </w:rPr>
        <w:t>Under the employment agreement Mr. Cifu's base salary remains at $1,000,000 and Mr. Cifu is eligible to earn an annual bonus with a target bonus opportunity equal to $2,500,000 and a maximum bonus opportunity equal to $5,000,000. Eighty percent (80%) of the annual bonus will be based on the achievement of quantitative targets composed of specific components of the Company's annual budget and 20% of the annual bonus will be based on the achievement of qualitative goals. To the extent earned, 50% of the annual bonus will be paid in cash, 30% of the annual bonus will be paid in the form of restricted shares of Class A common stock of the Company that vest in three equal annual installments and the remaining 20% will be paid in the form of fully vested shares of Class A common stock.</w:t>
      </w:r>
    </w:p>
    <w:p>
      <w:pPr>
        <w:spacing w:after="0" w:line="164" w:lineRule="exact"/>
        <w:rPr>
          <w:sz w:val="20"/>
          <w:szCs w:val="20"/>
          <w:color w:val="auto"/>
        </w:rPr>
      </w:pPr>
    </w:p>
    <w:p>
      <w:pPr>
        <w:ind w:right="120" w:firstLine="295"/>
        <w:spacing w:after="0" w:line="281" w:lineRule="auto"/>
        <w:rPr>
          <w:sz w:val="20"/>
          <w:szCs w:val="20"/>
          <w:color w:val="auto"/>
        </w:rPr>
      </w:pPr>
      <w:r>
        <w:rPr>
          <w:rFonts w:ascii="Arial" w:cs="Arial" w:eastAsia="Arial" w:hAnsi="Arial"/>
          <w:sz w:val="14"/>
          <w:szCs w:val="14"/>
          <w:color w:val="auto"/>
        </w:rPr>
        <w:t>The employment agreement provides that, commencing with calendar year 2018, Mr. Cifu will be eligible to receive an equity award at the beginning of each calendar year during the term (an "Annual Equity Grant"). It is our board of director's current intention that the Annual Equity Grant will be in the form of 150,000 restricted shares of Class A common stock that are subject to performance and service conditions. The number of shares earned under each Annual Equity Grant will be based on the percentage of budgeted EBITDA achieved in the applicable calendar year, with a minimum of 50% of shares earned upon at least 70% achievement and 100% of shares earned upon at least 75% achievement. To the extent any shares of Class A common stock are earned with respect to an applicable Annual Equity Grant, 50% of such shares will vest on the last day of the calendar year to which such award relates and the remaining 50% will vest on the last day of the subsequent calendar year, subject to Mr. Cifu's continued employment through each applicable vesting date.</w:t>
      </w:r>
    </w:p>
    <w:p>
      <w:pPr>
        <w:spacing w:after="0" w:line="151"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The employment agreement further provides that Mr. Cifu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In addition, during the term, Mr. Cifu will be provided a car and driver consistent with past practice.</w:t>
      </w:r>
    </w:p>
    <w:p>
      <w:pPr>
        <w:spacing w:after="0" w:line="161" w:lineRule="exact"/>
        <w:rPr>
          <w:sz w:val="20"/>
          <w:szCs w:val="20"/>
          <w:color w:val="auto"/>
        </w:rPr>
      </w:pPr>
    </w:p>
    <w:p>
      <w:pPr>
        <w:ind w:right="220" w:firstLine="295"/>
        <w:spacing w:after="0" w:line="281" w:lineRule="auto"/>
        <w:rPr>
          <w:sz w:val="20"/>
          <w:szCs w:val="20"/>
          <w:color w:val="auto"/>
        </w:rPr>
      </w:pPr>
      <w:r>
        <w:rPr>
          <w:rFonts w:ascii="Arial" w:cs="Arial" w:eastAsia="Arial" w:hAnsi="Arial"/>
          <w:sz w:val="14"/>
          <w:szCs w:val="14"/>
          <w:color w:val="auto"/>
        </w:rPr>
        <w:t>The employment agreement includes an acknowledgment that Mr. Cifu continues to be bound by the confidentiality and restrictive covenant provisions set forth in the Amended and Restated Virtu Financial LLC Agreement, which provides for confidentiality and non-disparagement restrictions, as well as non-compete and non-solicitation restrictions until the third anniversary on which Mr. Cifu ceases to be an officer, director or employee of the Company. The employment agreement also provides that the Company will pay as incurred, to the fullest extent permitted by law, all legal fees and expenses that Mr. Cifu incurs as a result of any contest (regardless of the outcome) by the Company, Mr. Cifu or others of the validity or enforceability of, or liability under, any provision of the employment agreement or any guarantee of performance of the employment agreement that arises in connection with or following a change in control, plus interest on any delayed payment at the applicable federal rate under Section 7872 of the Internal Revenue Code of 1986, as amended.</w:t>
      </w:r>
    </w:p>
    <w:p>
      <w:pPr>
        <w:spacing w:after="0" w:line="151" w:lineRule="exact"/>
        <w:rPr>
          <w:sz w:val="20"/>
          <w:szCs w:val="20"/>
          <w:color w:val="auto"/>
        </w:rPr>
      </w:pPr>
    </w:p>
    <w:p>
      <w:pPr>
        <w:ind w:right="760" w:firstLine="295"/>
        <w:spacing w:after="0" w:line="277" w:lineRule="auto"/>
        <w:rPr>
          <w:sz w:val="20"/>
          <w:szCs w:val="20"/>
          <w:color w:val="auto"/>
        </w:rPr>
      </w:pPr>
      <w:r>
        <w:rPr>
          <w:rFonts w:ascii="Arial" w:cs="Arial" w:eastAsia="Arial" w:hAnsi="Arial"/>
          <w:sz w:val="15"/>
          <w:szCs w:val="15"/>
          <w:color w:val="auto"/>
        </w:rPr>
        <w:t>The employment agreement for Mr. Cifu provides for severance upon certain terminations of employment as described below under "Potential Payments Upon Termination of Employment or Change in Control."</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Employment Agreement with Mr. Molluso</w:t>
      </w:r>
    </w:p>
    <w:p>
      <w:pPr>
        <w:spacing w:after="0" w:line="194" w:lineRule="exact"/>
        <w:rPr>
          <w:sz w:val="20"/>
          <w:szCs w:val="20"/>
          <w:color w:val="auto"/>
        </w:rPr>
      </w:pPr>
    </w:p>
    <w:p>
      <w:pPr>
        <w:ind w:right="100" w:firstLine="295"/>
        <w:spacing w:after="0" w:line="265" w:lineRule="auto"/>
        <w:rPr>
          <w:sz w:val="20"/>
          <w:szCs w:val="20"/>
          <w:color w:val="auto"/>
        </w:rPr>
      </w:pPr>
      <w:r>
        <w:rPr>
          <w:rFonts w:ascii="Arial" w:cs="Arial" w:eastAsia="Arial" w:hAnsi="Arial"/>
          <w:sz w:val="15"/>
          <w:szCs w:val="15"/>
          <w:color w:val="auto"/>
        </w:rPr>
        <w:t>Virtu East entered into an employment agreement with Mr. Molluso on August 7, 2013 on an "at will" employment basis. The employment agreement provides for a salary of $500,000 per year and a starting bonus of $600,000 (which must be repaid upon a termination for "cause" (as defined in his employment agreement) or certain violations of his restrictive covenants). In addition, the employment agreement provides for eligibility to earn an annual cash bonus, as determined at the sole discretion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Virtu East. The employment agreement also provides for a grant of Class A-2 profits interests in Virtu Employee Holdco with the number of Class A-2 profits interests to be granted determined by dividing $6,000,000 by the most recent valuation of a Class A-2 capital interest of Virtu Financial. In connection with our initial public offering, Mr. Molluso's Class A-2 profits interests in Virtu Employee Holdco were reclassified into common units of Virtu Employee Holdco and are currently 100% vested. Mr. Molluso is eligible to participate in all benefit programs of Virtu East available to similarly situated employees.</w:t>
      </w:r>
    </w:p>
    <w:p>
      <w:pPr>
        <w:spacing w:after="0" w:line="162" w:lineRule="exact"/>
        <w:rPr>
          <w:sz w:val="20"/>
          <w:szCs w:val="20"/>
          <w:color w:val="auto"/>
        </w:rPr>
      </w:pPr>
    </w:p>
    <w:p>
      <w:pPr>
        <w:ind w:right="80" w:firstLine="298"/>
        <w:spacing w:after="0" w:line="262" w:lineRule="auto"/>
        <w:rPr>
          <w:sz w:val="20"/>
          <w:szCs w:val="20"/>
          <w:color w:val="auto"/>
        </w:rPr>
      </w:pPr>
      <w:r>
        <w:rPr>
          <w:rFonts w:ascii="Arial" w:cs="Arial" w:eastAsia="Arial" w:hAnsi="Arial"/>
          <w:sz w:val="15"/>
          <w:szCs w:val="15"/>
          <w:color w:val="auto"/>
        </w:rPr>
        <w:t>In connection with his employment agreement, Mr. Molluso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three years thereafter. He is also subject to similar restrictive covenants under the limited liability company agreement of Virtu Employee Holdco (as amended and restated, "Virtu Employee Holdco Limited Liability Company Agreement").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Employment Agreement with Mr. Cavoli</w:t>
      </w:r>
    </w:p>
    <w:p>
      <w:pPr>
        <w:spacing w:after="0" w:line="194" w:lineRule="exact"/>
        <w:rPr>
          <w:sz w:val="20"/>
          <w:szCs w:val="20"/>
          <w:color w:val="auto"/>
        </w:rPr>
      </w:pPr>
    </w:p>
    <w:p>
      <w:pPr>
        <w:jc w:val="both"/>
        <w:ind w:right="60" w:firstLine="295"/>
        <w:spacing w:after="0" w:line="314" w:lineRule="auto"/>
        <w:rPr>
          <w:sz w:val="20"/>
          <w:szCs w:val="20"/>
          <w:color w:val="auto"/>
        </w:rPr>
      </w:pPr>
      <w:r>
        <w:rPr>
          <w:rFonts w:ascii="Arial" w:cs="Arial" w:eastAsia="Arial" w:hAnsi="Arial"/>
          <w:sz w:val="13"/>
          <w:szCs w:val="13"/>
          <w:color w:val="auto"/>
        </w:rPr>
        <w:t>Virtu East entered into an employment agreement with Mr. Cavoli on June 24, 2015 on an "at will" employment basis. The employment agreement provides for a salary of $400,000 per year. In addition, the employment agreement provides for eligibility to earn an annual cash bonus, as determined at the sole discretion of Virtu East. The employment agreement also provided for a grant of restricted stock units with the number of restricted stock units to be granted determined by dividing $2,000,000 by the closing price of the Company's Class A common stock on Mr. Cavoli's start date of September 28, 2015. Mr. Cavoli is eligible to participate in all benefit programs of Virtu East available to similarly situated employees.</w:t>
      </w:r>
    </w:p>
    <w:p>
      <w:pPr>
        <w:spacing w:after="0" w:line="133" w:lineRule="exact"/>
        <w:rPr>
          <w:sz w:val="20"/>
          <w:szCs w:val="20"/>
          <w:color w:val="auto"/>
        </w:rPr>
      </w:pPr>
    </w:p>
    <w:p>
      <w:pPr>
        <w:jc w:val="both"/>
        <w:ind w:right="120" w:firstLine="298"/>
        <w:spacing w:after="0" w:line="265" w:lineRule="auto"/>
        <w:rPr>
          <w:sz w:val="20"/>
          <w:szCs w:val="20"/>
          <w:color w:val="auto"/>
        </w:rPr>
      </w:pPr>
      <w:r>
        <w:rPr>
          <w:rFonts w:ascii="Arial" w:cs="Arial" w:eastAsia="Arial" w:hAnsi="Arial"/>
          <w:sz w:val="15"/>
          <w:szCs w:val="15"/>
          <w:color w:val="auto"/>
        </w:rPr>
        <w:t>In connection with his employment agreement, Mr. Cavoli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eighteen (18) months thereafter.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Outstanding Equity Awards at 2018 Fiscal Year-End</w:t>
      </w:r>
    </w:p>
    <w:p>
      <w:pPr>
        <w:spacing w:after="0" w:line="198" w:lineRule="exact"/>
        <w:rPr>
          <w:sz w:val="20"/>
          <w:szCs w:val="20"/>
          <w:color w:val="auto"/>
        </w:rPr>
      </w:pPr>
    </w:p>
    <w:p>
      <w:pPr>
        <w:ind w:right="40" w:firstLine="295"/>
        <w:spacing w:after="0" w:line="277" w:lineRule="auto"/>
        <w:rPr>
          <w:sz w:val="20"/>
          <w:szCs w:val="20"/>
          <w:color w:val="auto"/>
        </w:rPr>
      </w:pPr>
      <w:r>
        <w:rPr>
          <w:rFonts w:ascii="Arial" w:cs="Arial" w:eastAsia="Arial" w:hAnsi="Arial"/>
          <w:sz w:val="15"/>
          <w:szCs w:val="15"/>
          <w:color w:val="auto"/>
        </w:rPr>
        <w:t>The following table provides information about each of the outstanding awards of options to purchase our common stock, restricted shares of our common stock, and restricted stock units held by each named executive officer as of December 31, 2018.</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4"/>
          </w:tcPr>
          <w:p>
            <w:pPr>
              <w:jc w:val="right"/>
              <w:ind w:right="540"/>
              <w:spacing w:after="0"/>
              <w:rPr>
                <w:sz w:val="20"/>
                <w:szCs w:val="20"/>
                <w:color w:val="auto"/>
              </w:rPr>
            </w:pPr>
            <w:r>
              <w:rPr>
                <w:rFonts w:ascii="Arial" w:cs="Arial" w:eastAsia="Arial" w:hAnsi="Arial"/>
                <w:sz w:val="11"/>
                <w:szCs w:val="11"/>
                <w:b w:val="1"/>
                <w:bCs w:val="1"/>
                <w:color w:val="auto"/>
              </w:rPr>
              <w:t>Option Awards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gridSpan w:val="4"/>
          </w:tcPr>
          <w:p>
            <w:pPr>
              <w:ind w:left="620"/>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4"/>
              </w:rPr>
              <w:t>Number of</w:t>
            </w:r>
          </w:p>
        </w:tc>
        <w:tc>
          <w:tcPr>
            <w:tcW w:w="1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8"/>
              </w:rPr>
              <w:t>Number of</w:t>
            </w: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top w:val="single" w:sz="8" w:color="auto"/>
            </w:tcBorders>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5"/>
              </w:rPr>
              <w:t>Equity</w:t>
            </w:r>
          </w:p>
        </w:tc>
        <w:tc>
          <w:tcPr>
            <w:tcW w:w="8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rPr>
              <w:t>Equity</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1"/>
              </w:rPr>
              <w:t>Securities</w:t>
            </w:r>
          </w:p>
        </w:tc>
        <w:tc>
          <w:tcPr>
            <w:tcW w:w="140" w:type="dxa"/>
            <w:vAlign w:val="bottom"/>
          </w:tcPr>
          <w:p>
            <w:pPr>
              <w:spacing w:after="0"/>
              <w:rPr>
                <w:sz w:val="10"/>
                <w:szCs w:val="1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Securities</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Incentive Plan</w:t>
            </w: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Incentive Plan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7"/>
              </w:rPr>
              <w:t>Underlying</w:t>
            </w:r>
          </w:p>
        </w:tc>
        <w:tc>
          <w:tcPr>
            <w:tcW w:w="14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Underlying</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Awards:</w:t>
            </w: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Awards: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1"/>
              </w:rPr>
              <w:t>Unexercised</w:t>
            </w:r>
          </w:p>
        </w:tc>
        <w:tc>
          <w:tcPr>
            <w:tcW w:w="14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Unexercised</w:t>
            </w: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Option</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Number of</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Market Value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6"/>
              </w:rPr>
              <w:t>Options</w:t>
            </w:r>
          </w:p>
        </w:tc>
        <w:tc>
          <w:tcPr>
            <w:tcW w:w="14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Options</w:t>
            </w: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Exercise</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Option</w:t>
            </w: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Unvested</w:t>
            </w: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Unvested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1"/>
              </w:rPr>
              <w:t>Exercisable</w:t>
            </w:r>
          </w:p>
        </w:tc>
        <w:tc>
          <w:tcPr>
            <w:tcW w:w="14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Unexercisable</w:t>
            </w: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Price</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Expiration</w:t>
            </w: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Stock Awards</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Stock Awards</w:t>
            </w:r>
          </w:p>
        </w:tc>
        <w:tc>
          <w:tcPr>
            <w:tcW w:w="0" w:type="dxa"/>
            <w:vAlign w:val="bottom"/>
          </w:tcPr>
          <w:p>
            <w:pPr>
              <w:spacing w:after="0"/>
              <w:rPr>
                <w:sz w:val="1"/>
                <w:szCs w:val="1"/>
                <w:color w:val="auto"/>
              </w:rPr>
            </w:pPr>
          </w:p>
        </w:tc>
      </w:tr>
      <w:tr>
        <w:trPr>
          <w:trHeight w:val="137"/>
        </w:trPr>
        <w:tc>
          <w:tcPr>
            <w:tcW w:w="382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860" w:type="dxa"/>
            <w:vAlign w:val="bottom"/>
            <w:gridSpan w:val="2"/>
          </w:tcPr>
          <w:p>
            <w:pPr>
              <w:jc w:val="center"/>
              <w:ind w:left="83"/>
              <w:spacing w:after="0"/>
              <w:rPr>
                <w:sz w:val="20"/>
                <w:szCs w:val="20"/>
                <w:color w:val="auto"/>
              </w:rPr>
            </w:pPr>
            <w:r>
              <w:rPr>
                <w:rFonts w:ascii="Arial" w:cs="Arial" w:eastAsia="Arial" w:hAnsi="Arial"/>
                <w:sz w:val="11"/>
                <w:szCs w:val="11"/>
                <w:b w:val="1"/>
                <w:bCs w:val="1"/>
                <w:color w:val="auto"/>
                <w:w w:val="88"/>
              </w:rPr>
              <w:t>(#)</w:t>
            </w:r>
          </w:p>
        </w:tc>
        <w:tc>
          <w:tcPr>
            <w:tcW w:w="960" w:type="dxa"/>
            <w:vAlign w:val="bottom"/>
            <w:gridSpan w:val="2"/>
          </w:tcPr>
          <w:p>
            <w:pPr>
              <w:jc w:val="center"/>
              <w:ind w:left="83"/>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1"/>
                <w:szCs w:val="11"/>
                <w:color w:val="auto"/>
              </w:rPr>
            </w:pPr>
          </w:p>
        </w:tc>
        <w:tc>
          <w:tcPr>
            <w:tcW w:w="460" w:type="dxa"/>
            <w:vAlign w:val="bottom"/>
          </w:tcPr>
          <w:p>
            <w:pPr>
              <w:jc w:val="center"/>
              <w:ind w:right="3"/>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0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6"/>
              </w:rPr>
              <w:t>($)(1)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3800" w:type="dxa"/>
            <w:vAlign w:val="bottom"/>
            <w:gridSpan w:val="3"/>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Douglas A. Cifu</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ind w:left="620"/>
              <w:spacing w:after="0" w:line="117" w:lineRule="exact"/>
              <w:rPr>
                <w:sz w:val="20"/>
                <w:szCs w:val="20"/>
                <w:color w:val="auto"/>
              </w:rPr>
            </w:pPr>
            <w:r>
              <w:rPr>
                <w:rFonts w:ascii="Arial" w:cs="Arial" w:eastAsia="Arial" w:hAnsi="Arial"/>
                <w:sz w:val="11"/>
                <w:szCs w:val="11"/>
                <w:color w:val="auto"/>
                <w:w w:val="72"/>
              </w:rPr>
              <w:t>—</w:t>
            </w:r>
          </w:p>
        </w:tc>
        <w:tc>
          <w:tcPr>
            <w:tcW w:w="1160" w:type="dxa"/>
            <w:vAlign w:val="bottom"/>
            <w:tcBorders>
              <w:right w:val="single" w:sz="8" w:color="CCEEFF"/>
            </w:tcBorders>
            <w:gridSpan w:val="3"/>
            <w:shd w:val="clear" w:color="auto" w:fill="CCEEFF"/>
          </w:tcPr>
          <w:p>
            <w:pPr>
              <w:jc w:val="right"/>
              <w:spacing w:after="0" w:line="117" w:lineRule="exact"/>
              <w:rPr>
                <w:sz w:val="20"/>
                <w:szCs w:val="20"/>
                <w:color w:val="auto"/>
              </w:rPr>
            </w:pPr>
            <w:r>
              <w:rPr>
                <w:rFonts w:ascii="Arial" w:cs="Arial" w:eastAsia="Arial" w:hAnsi="Arial"/>
                <w:sz w:val="11"/>
                <w:szCs w:val="11"/>
                <w:color w:val="auto"/>
              </w:rPr>
              <w:t>100,000(2)$</w:t>
            </w:r>
          </w:p>
        </w:tc>
        <w:tc>
          <w:tcPr>
            <w:tcW w:w="60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19.00</w:t>
            </w:r>
          </w:p>
        </w:tc>
        <w:tc>
          <w:tcPr>
            <w:tcW w:w="7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4/15/2025</w:t>
            </w:r>
          </w:p>
        </w:tc>
        <w:tc>
          <w:tcPr>
            <w:tcW w:w="1040" w:type="dxa"/>
            <w:vAlign w:val="bottom"/>
            <w:tcBorders>
              <w:right w:val="single" w:sz="8" w:color="CCEEFF"/>
            </w:tcBorders>
            <w:gridSpan w:val="2"/>
            <w:shd w:val="clear" w:color="auto" w:fill="CCEEFF"/>
          </w:tcPr>
          <w:p>
            <w:pPr>
              <w:jc w:val="right"/>
              <w:ind w:right="200"/>
              <w:spacing w:after="0" w:line="117"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ind w:left="760"/>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4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48,174(3)$</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1,240,962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4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75,000(4)$</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1,455,000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3820" w:type="dxa"/>
            <w:vAlign w:val="bottom"/>
            <w:gridSpan w:val="4"/>
          </w:tcPr>
          <w:p>
            <w:pPr>
              <w:spacing w:after="0"/>
              <w:rPr>
                <w:sz w:val="20"/>
                <w:szCs w:val="20"/>
                <w:color w:val="auto"/>
              </w:rPr>
            </w:pPr>
            <w:r>
              <w:rPr>
                <w:rFonts w:ascii="Arial" w:cs="Arial" w:eastAsia="Arial" w:hAnsi="Arial"/>
                <w:sz w:val="11"/>
                <w:szCs w:val="11"/>
                <w:b w:val="1"/>
                <w:bCs w:val="1"/>
                <w:color w:val="auto"/>
              </w:rPr>
              <w:t>Joseph Molluso</w:t>
            </w:r>
          </w:p>
        </w:tc>
        <w:tc>
          <w:tcPr>
            <w:tcW w:w="140" w:type="dxa"/>
            <w:vAlign w:val="bottom"/>
          </w:tcPr>
          <w:p>
            <w:pPr>
              <w:spacing w:after="0"/>
              <w:rPr>
                <w:sz w:val="23"/>
                <w:szCs w:val="23"/>
                <w:color w:val="auto"/>
              </w:rPr>
            </w:pP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160" w:type="dxa"/>
            <w:vAlign w:val="bottom"/>
            <w:gridSpan w:val="3"/>
          </w:tcPr>
          <w:p>
            <w:pPr>
              <w:jc w:val="right"/>
              <w:spacing w:after="0"/>
              <w:rPr>
                <w:sz w:val="20"/>
                <w:szCs w:val="20"/>
                <w:color w:val="auto"/>
              </w:rPr>
            </w:pPr>
            <w:r>
              <w:rPr>
                <w:rFonts w:ascii="Arial" w:cs="Arial" w:eastAsia="Arial" w:hAnsi="Arial"/>
                <w:sz w:val="11"/>
                <w:szCs w:val="11"/>
                <w:color w:val="auto"/>
              </w:rPr>
              <w:t>15,000(2)$</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19.00</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4/15/2025</w:t>
            </w: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4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9,373(5)$</w:t>
            </w:r>
          </w:p>
        </w:tc>
        <w:tc>
          <w:tcPr>
            <w:tcW w:w="860" w:type="dxa"/>
            <w:vAlign w:val="bottom"/>
          </w:tcPr>
          <w:p>
            <w:pPr>
              <w:jc w:val="right"/>
              <w:spacing w:after="0"/>
              <w:rPr>
                <w:sz w:val="20"/>
                <w:szCs w:val="20"/>
                <w:color w:val="auto"/>
              </w:rPr>
            </w:pPr>
            <w:r>
              <w:rPr>
                <w:rFonts w:ascii="Arial" w:cs="Arial" w:eastAsia="Arial" w:hAnsi="Arial"/>
                <w:sz w:val="11"/>
                <w:szCs w:val="11"/>
                <w:color w:val="auto"/>
              </w:rPr>
              <w:t>241,457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4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33,720(3)$</w:t>
            </w:r>
          </w:p>
        </w:tc>
        <w:tc>
          <w:tcPr>
            <w:tcW w:w="860" w:type="dxa"/>
            <w:vAlign w:val="bottom"/>
          </w:tcPr>
          <w:p>
            <w:pPr>
              <w:jc w:val="right"/>
              <w:spacing w:after="0"/>
              <w:rPr>
                <w:sz w:val="20"/>
                <w:szCs w:val="20"/>
                <w:color w:val="auto"/>
              </w:rPr>
            </w:pPr>
            <w:r>
              <w:rPr>
                <w:rFonts w:ascii="Arial" w:cs="Arial" w:eastAsia="Arial" w:hAnsi="Arial"/>
                <w:sz w:val="11"/>
                <w:szCs w:val="11"/>
                <w:color w:val="auto"/>
              </w:rPr>
              <w:t>868,627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4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120,000(6)$</w:t>
            </w:r>
          </w:p>
        </w:tc>
        <w:tc>
          <w:tcPr>
            <w:tcW w:w="860" w:type="dxa"/>
            <w:vAlign w:val="bottom"/>
          </w:tcPr>
          <w:p>
            <w:pPr>
              <w:jc w:val="right"/>
              <w:spacing w:after="0"/>
              <w:rPr>
                <w:sz w:val="20"/>
                <w:szCs w:val="20"/>
                <w:color w:val="auto"/>
              </w:rPr>
            </w:pPr>
            <w:r>
              <w:rPr>
                <w:rFonts w:ascii="Arial" w:cs="Arial" w:eastAsia="Arial" w:hAnsi="Arial"/>
                <w:sz w:val="11"/>
                <w:szCs w:val="11"/>
                <w:color w:val="auto"/>
              </w:rPr>
              <w:t>3,091,200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Stephen Cavoli</w:t>
            </w: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4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23,442(7)$</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603,853</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1,875(5)$</w:t>
            </w:r>
          </w:p>
        </w:tc>
        <w:tc>
          <w:tcPr>
            <w:tcW w:w="860" w:type="dxa"/>
            <w:vAlign w:val="bottom"/>
          </w:tcPr>
          <w:p>
            <w:pPr>
              <w:jc w:val="right"/>
              <w:spacing w:after="0"/>
              <w:rPr>
                <w:sz w:val="20"/>
                <w:szCs w:val="20"/>
                <w:color w:val="auto"/>
              </w:rPr>
            </w:pPr>
            <w:r>
              <w:rPr>
                <w:rFonts w:ascii="Arial" w:cs="Arial" w:eastAsia="Arial" w:hAnsi="Arial"/>
                <w:sz w:val="11"/>
                <w:szCs w:val="11"/>
                <w:color w:val="auto"/>
              </w:rPr>
              <w:t>48,300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00" w:hanging="464"/>
        <w:spacing w:after="0"/>
        <w:tabs>
          <w:tab w:leader="none" w:pos="16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Market value is based on the closing price of a share of our Class A common stock on December 31, 2018 (the last trading day of Fiscal 2018) equal to $25.76.</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As of December 31, 2018, these stock options will fully vest on April 15, 2019.</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These units will vest ratably on each of January 23, 2019, January 23, 2020, and January 23, 2021.</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This amount represents the number of earned but unvested restricted shares under Mr. Cifu's Annual Equity Award that will vest on December 31, 2019.</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These units will vest on December 31, 2019.</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These units will vest in ratably on each of March 21, 2019, March 21, 2020, and March 21, 2021.</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These units will vest on August 24, 2019.</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Option Exercises and Stock Vested During 2018 Fiscal Year</w:t>
      </w:r>
    </w:p>
    <w:p>
      <w:pPr>
        <w:spacing w:after="0" w:line="198" w:lineRule="exact"/>
        <w:rPr>
          <w:sz w:val="20"/>
          <w:szCs w:val="20"/>
          <w:color w:val="auto"/>
        </w:rPr>
      </w:pPr>
    </w:p>
    <w:p>
      <w:pPr>
        <w:ind w:right="20" w:firstLine="295"/>
        <w:spacing w:after="0" w:line="277" w:lineRule="auto"/>
        <w:rPr>
          <w:sz w:val="20"/>
          <w:szCs w:val="20"/>
          <w:color w:val="auto"/>
        </w:rPr>
      </w:pPr>
      <w:r>
        <w:rPr>
          <w:rFonts w:ascii="Arial" w:cs="Arial" w:eastAsia="Arial" w:hAnsi="Arial"/>
          <w:sz w:val="15"/>
          <w:szCs w:val="15"/>
          <w:color w:val="auto"/>
        </w:rPr>
        <w:t>The following table sets forth as to each of the named executive officers information on exercises of options to purchase our common stock, the vesting of restricted shares of our common stock, and the vesting of restricted stock units during 2018.</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20" w:type="dxa"/>
            <w:vAlign w:val="bottom"/>
            <w:gridSpan w:val="3"/>
          </w:tcPr>
          <w:p>
            <w:pPr>
              <w:jc w:val="right"/>
              <w:ind w:right="683"/>
              <w:spacing w:after="0"/>
              <w:rPr>
                <w:sz w:val="20"/>
                <w:szCs w:val="20"/>
                <w:color w:val="auto"/>
              </w:rPr>
            </w:pPr>
            <w:r>
              <w:rPr>
                <w:rFonts w:ascii="Arial" w:cs="Arial" w:eastAsia="Arial" w:hAnsi="Arial"/>
                <w:sz w:val="11"/>
                <w:szCs w:val="11"/>
                <w:b w:val="1"/>
                <w:bCs w:val="1"/>
                <w:color w:val="auto"/>
              </w:rPr>
              <w:t>Option Awards</w:t>
            </w:r>
          </w:p>
        </w:tc>
        <w:tc>
          <w:tcPr>
            <w:tcW w:w="140" w:type="dxa"/>
            <w:vAlign w:val="bottom"/>
          </w:tcPr>
          <w:p>
            <w:pPr>
              <w:spacing w:after="0"/>
              <w:rPr>
                <w:sz w:val="11"/>
                <w:szCs w:val="11"/>
                <w:color w:val="auto"/>
              </w:rPr>
            </w:pPr>
          </w:p>
        </w:tc>
        <w:tc>
          <w:tcPr>
            <w:tcW w:w="2340" w:type="dxa"/>
            <w:vAlign w:val="bottom"/>
            <w:gridSpan w:val="4"/>
          </w:tcPr>
          <w:p>
            <w:pPr>
              <w:ind w:left="760"/>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00" w:type="dxa"/>
            <w:vAlign w:val="bottom"/>
            <w:tcBorders>
              <w:top w:val="single" w:sz="8" w:color="auto"/>
            </w:tcBorders>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2"/>
              </w:rPr>
              <w:t>Number of Shares</w:t>
            </w:r>
          </w:p>
        </w:tc>
        <w:tc>
          <w:tcPr>
            <w:tcW w:w="10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Borders>
              <w:top w:val="single" w:sz="8" w:color="auto"/>
            </w:tcBorders>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2"/>
              </w:rPr>
              <w:t>Number of Shares</w:t>
            </w:r>
          </w:p>
        </w:tc>
        <w:tc>
          <w:tcPr>
            <w:tcW w:w="10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Acquired on</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1"/>
              </w:rPr>
              <w:t>Value Realized on</w:t>
            </w:r>
          </w:p>
        </w:tc>
        <w:tc>
          <w:tcPr>
            <w:tcW w:w="140" w:type="dxa"/>
            <w:vAlign w:val="bottom"/>
          </w:tcPr>
          <w:p>
            <w:pPr>
              <w:spacing w:after="0"/>
              <w:rPr>
                <w:sz w:val="10"/>
                <w:szCs w:val="1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Acquired on</w:t>
            </w: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Value Realized 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2"/>
              </w:rPr>
              <w:t>Exercise</w:t>
            </w:r>
          </w:p>
        </w:tc>
        <w:tc>
          <w:tcPr>
            <w:tcW w:w="140" w:type="dxa"/>
            <w:vAlign w:val="bottom"/>
          </w:tcPr>
          <w:p>
            <w:pPr>
              <w:spacing w:after="0"/>
              <w:rPr>
                <w:sz w:val="10"/>
                <w:szCs w:val="1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Vesting</w:t>
            </w: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Vesting</w:t>
            </w:r>
          </w:p>
        </w:tc>
        <w:tc>
          <w:tcPr>
            <w:tcW w:w="0" w:type="dxa"/>
            <w:vAlign w:val="bottom"/>
          </w:tcPr>
          <w:p>
            <w:pPr>
              <w:spacing w:after="0"/>
              <w:rPr>
                <w:sz w:val="1"/>
                <w:szCs w:val="1"/>
                <w:color w:val="auto"/>
              </w:rPr>
            </w:pPr>
          </w:p>
        </w:tc>
      </w:tr>
      <w:tr>
        <w:trPr>
          <w:trHeight w:val="137"/>
        </w:trPr>
        <w:tc>
          <w:tcPr>
            <w:tcW w:w="452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180" w:type="dxa"/>
            <w:vAlign w:val="bottom"/>
            <w:gridSpan w:val="2"/>
          </w:tcPr>
          <w:p>
            <w:pPr>
              <w:jc w:val="center"/>
              <w:ind w:left="83"/>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500" w:type="dxa"/>
            <w:vAlign w:val="bottom"/>
            <w:gridSpan w:val="3"/>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Douglas A. Cifu(1)</w:t>
            </w:r>
          </w:p>
        </w:tc>
        <w:tc>
          <w:tcPr>
            <w:tcW w:w="120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300,000</w:t>
            </w:r>
          </w:p>
        </w:tc>
        <w:tc>
          <w:tcPr>
            <w:tcW w:w="10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3,253,644</w:t>
            </w:r>
          </w:p>
        </w:tc>
        <w:tc>
          <w:tcPr>
            <w:tcW w:w="1320" w:type="dxa"/>
            <w:vAlign w:val="bottom"/>
            <w:gridSpan w:val="3"/>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75,000</w:t>
            </w:r>
          </w:p>
        </w:tc>
        <w:tc>
          <w:tcPr>
            <w:tcW w:w="10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1,932,000</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500" w:type="dxa"/>
            <w:vAlign w:val="bottom"/>
            <w:gridSpan w:val="3"/>
          </w:tcPr>
          <w:p>
            <w:pPr>
              <w:spacing w:after="0"/>
              <w:rPr>
                <w:sz w:val="20"/>
                <w:szCs w:val="20"/>
                <w:color w:val="auto"/>
              </w:rPr>
            </w:pPr>
            <w:r>
              <w:rPr>
                <w:rFonts w:ascii="Arial" w:cs="Arial" w:eastAsia="Arial" w:hAnsi="Arial"/>
                <w:sz w:val="11"/>
                <w:szCs w:val="11"/>
                <w:b w:val="1"/>
                <w:bCs w:val="1"/>
                <w:color w:val="auto"/>
              </w:rPr>
              <w:t>Joseph Molluso(2)</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45,000</w:t>
            </w:r>
          </w:p>
        </w:tc>
        <w:tc>
          <w:tcPr>
            <w:tcW w:w="1020" w:type="dxa"/>
            <w:vAlign w:val="bottom"/>
          </w:tcPr>
          <w:p>
            <w:pPr>
              <w:jc w:val="right"/>
              <w:spacing w:after="0"/>
              <w:rPr>
                <w:sz w:val="20"/>
                <w:szCs w:val="20"/>
                <w:color w:val="auto"/>
              </w:rPr>
            </w:pPr>
            <w:r>
              <w:rPr>
                <w:rFonts w:ascii="Arial" w:cs="Arial" w:eastAsia="Arial" w:hAnsi="Arial"/>
                <w:sz w:val="11"/>
                <w:szCs w:val="11"/>
                <w:color w:val="auto"/>
              </w:rPr>
              <w:t>495,000</w:t>
            </w:r>
          </w:p>
        </w:tc>
        <w:tc>
          <w:tcPr>
            <w:tcW w:w="1320" w:type="dxa"/>
            <w:vAlign w:val="bottom"/>
            <w:gridSpan w:val="3"/>
          </w:tcPr>
          <w:p>
            <w:pPr>
              <w:jc w:val="right"/>
              <w:ind w:right="140"/>
              <w:spacing w:after="0"/>
              <w:rPr>
                <w:sz w:val="20"/>
                <w:szCs w:val="20"/>
                <w:color w:val="auto"/>
              </w:rPr>
            </w:pPr>
            <w:r>
              <w:rPr>
                <w:rFonts w:ascii="Arial" w:cs="Arial" w:eastAsia="Arial" w:hAnsi="Arial"/>
                <w:sz w:val="11"/>
                <w:szCs w:val="11"/>
                <w:color w:val="auto"/>
              </w:rPr>
              <w:t>15,147</w:t>
            </w:r>
          </w:p>
        </w:tc>
        <w:tc>
          <w:tcPr>
            <w:tcW w:w="1020" w:type="dxa"/>
            <w:vAlign w:val="bottom"/>
          </w:tcPr>
          <w:p>
            <w:pPr>
              <w:jc w:val="right"/>
              <w:spacing w:after="0"/>
              <w:rPr>
                <w:sz w:val="20"/>
                <w:szCs w:val="20"/>
                <w:color w:val="auto"/>
              </w:rPr>
            </w:pPr>
            <w:r>
              <w:rPr>
                <w:rFonts w:ascii="Arial" w:cs="Arial" w:eastAsia="Arial" w:hAnsi="Arial"/>
                <w:sz w:val="11"/>
                <w:szCs w:val="11"/>
                <w:color w:val="auto"/>
              </w:rPr>
              <w:t>324,013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Stephen Cavoli(3)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25,317</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558,991</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00" w:hanging="464"/>
        <w:spacing w:after="0" w:line="257" w:lineRule="auto"/>
        <w:tabs>
          <w:tab w:leader="none" w:pos="16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For Mr. Cifu, this includes 93,334 options exercised on June 11, 2018, at a closing price of $30.10, 99,218 options exercised on June 12, 2018, at a closing price of $30.15, 82,521 options exercised on June 13, 2018, at a closing price of $30.00 and 24,927 options exercised on June 15, 2018, at a closing price of $30.30. In addition, Mr. Cifu had 75,000 shares of restricted stock vest on December 31, 2018, at a closing price of $25.76.</w:t>
      </w:r>
    </w:p>
    <w:p>
      <w:pPr>
        <w:spacing w:after="0" w:line="85" w:lineRule="exact"/>
        <w:rPr>
          <w:rFonts w:ascii="Arial" w:cs="Arial" w:eastAsia="Arial" w:hAnsi="Arial"/>
          <w:sz w:val="11"/>
          <w:szCs w:val="11"/>
          <w:color w:val="auto"/>
        </w:rPr>
      </w:pPr>
    </w:p>
    <w:p>
      <w:pPr>
        <w:ind w:left="1600" w:right="160" w:hanging="464"/>
        <w:spacing w:after="0" w:line="275" w:lineRule="auto"/>
        <w:tabs>
          <w:tab w:leader="none" w:pos="16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For Mr. Molluso, this includes 45,000 options exercised on June 13, 2018 at a closing price of $30.00, the vesting of 9,373 RSUs on January 3, 2018 at a closing price of $18.70, and the vesting of 5,774 RSUs on December 31, 2018, at a closing price of $25.76.</w:t>
      </w:r>
    </w:p>
    <w:p>
      <w:pPr>
        <w:spacing w:after="0" w:line="76" w:lineRule="exact"/>
        <w:rPr>
          <w:rFonts w:ascii="Arial" w:cs="Arial" w:eastAsia="Arial" w:hAnsi="Arial"/>
          <w:sz w:val="11"/>
          <w:szCs w:val="11"/>
          <w:color w:val="auto"/>
        </w:rPr>
      </w:pPr>
    </w:p>
    <w:p>
      <w:pPr>
        <w:ind w:left="1600" w:hanging="464"/>
        <w:spacing w:after="0"/>
        <w:tabs>
          <w:tab w:leader="none" w:pos="16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For Mr. Cavoli, this includes the vesting of 1,875 RSUs on January 3, 2018 at a closing price of $18.70, and the vesting of 23,442 RSUs on August 24, 2018, at a closing price of $22.35.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3" w:name="page34"/>
    <w:bookmarkEnd w:id="33"/>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12"/>
        <w:spacing w:after="0"/>
        <w:rPr>
          <w:sz w:val="20"/>
          <w:szCs w:val="20"/>
          <w:color w:val="auto"/>
        </w:rPr>
      </w:pPr>
      <w:r>
        <w:rPr>
          <w:rFonts w:ascii="Arial" w:cs="Arial" w:eastAsia="Arial" w:hAnsi="Arial"/>
          <w:sz w:val="15"/>
          <w:szCs w:val="15"/>
          <w:b w:val="1"/>
          <w:bCs w:val="1"/>
          <w:color w:val="auto"/>
        </w:rPr>
        <w:t>Potential Payments Upon Termination of Employment or Change in Control</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Severance Benefits</w:t>
      </w:r>
    </w:p>
    <w:p>
      <w:pPr>
        <w:spacing w:after="0" w:line="194" w:lineRule="exact"/>
        <w:rPr>
          <w:sz w:val="20"/>
          <w:szCs w:val="20"/>
          <w:color w:val="auto"/>
        </w:rPr>
      </w:pPr>
    </w:p>
    <w:p>
      <w:pPr>
        <w:ind w:left="8" w:right="20" w:firstLine="298"/>
        <w:spacing w:after="0" w:line="277" w:lineRule="auto"/>
        <w:rPr>
          <w:sz w:val="20"/>
          <w:szCs w:val="20"/>
          <w:color w:val="auto"/>
        </w:rPr>
      </w:pPr>
      <w:r>
        <w:rPr>
          <w:rFonts w:ascii="Arial" w:cs="Arial" w:eastAsia="Arial" w:hAnsi="Arial"/>
          <w:sz w:val="14"/>
          <w:szCs w:val="14"/>
          <w:color w:val="auto"/>
        </w:rPr>
        <w:t>Under Mr. Cifu's employment agreement, if Mr. Cifu's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Mr. Cifu will receive, subject to the execution of a release of claims: (A) severance pay in an aggregate amount equal to the greater of (x) one times his base salary and (y) an amount equal to the total amount of base salary that would otherwise have been payable through the remainder of the term (the "Severance Amount"); (B) continued health, dental, vision and life insurance benefits under the terms of our benefit plans for (x) twelve months or (y) the period from termination of employment through the remainder of the term, whichever is longer (the "Benefits Continuation Period"); and following the Benefits Continuation Period, continued participation in the Company's health, dental, vision and life insurance until the earlier of (i) Mr. Cifu's independents reaching the age of 26, (ii) Mr. Cifu or his spouse becoming eligible for Medicare, or (iii) Mr. Cifu becoming eligible for comparable coverage under another employer's benefit plans, subject to Mr. Cifu's payment of the full cost of such benefits; (C) remain eligible to earn shares of Class A common stock under his then-current Annual Equity Grant, and to the extent earned, a pro rata portion of such shares shall be deemed vested on the last day of the calendar year to which such award relates (the "Equity Acceleration"); (D) accelerated vesting of any earned but unvested shares of Class A common stock under the Annual Equity Grant granted in the year prior to the year of termination; and (5) 150,000 shares of fully vested Class A common stock.</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Severance Benefits Upon a Change in Control Termination</w:t>
      </w:r>
    </w:p>
    <w:p>
      <w:pPr>
        <w:spacing w:after="0" w:line="194" w:lineRule="exact"/>
        <w:rPr>
          <w:sz w:val="20"/>
          <w:szCs w:val="20"/>
          <w:color w:val="auto"/>
        </w:rPr>
      </w:pPr>
    </w:p>
    <w:p>
      <w:pPr>
        <w:ind w:left="288"/>
        <w:spacing w:after="0"/>
        <w:rPr>
          <w:sz w:val="20"/>
          <w:szCs w:val="20"/>
          <w:color w:val="auto"/>
        </w:rPr>
      </w:pPr>
      <w:r>
        <w:rPr>
          <w:rFonts w:ascii="Arial" w:cs="Arial" w:eastAsia="Arial" w:hAnsi="Arial"/>
          <w:sz w:val="13"/>
          <w:szCs w:val="13"/>
          <w:color w:val="auto"/>
        </w:rPr>
        <w:t>If Mr. Cifu is terminated at any time within sixty days before, or 24 months following, a change in control, then Mr. Cifu is entitled to the payments and benefits described above, however</w:t>
      </w:r>
    </w:p>
    <w:p>
      <w:pPr>
        <w:spacing w:after="0" w:line="39" w:lineRule="exact"/>
        <w:rPr>
          <w:sz w:val="20"/>
          <w:szCs w:val="20"/>
          <w:color w:val="auto"/>
        </w:rPr>
      </w:pPr>
    </w:p>
    <w:p>
      <w:pPr>
        <w:ind w:left="8" w:right="480" w:hanging="8"/>
        <w:spacing w:after="0" w:line="293" w:lineRule="auto"/>
        <w:tabs>
          <w:tab w:leader="none" w:pos="219"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lieu of the Severance Amount, Mr. Cifu will be entitled to receive two and a half times the sum of (x) his base salary and (y) the annual bonus (including any amounts deferred or satisfied through the grant of equity awards) most recently awarded to Mr. Cifu for a completed fiscal year of the Company; (2) the Benefits Continuation Period will be extended to</w:t>
      </w:r>
    </w:p>
    <w:p>
      <w:pPr>
        <w:spacing w:after="0" w:line="1" w:lineRule="exact"/>
        <w:rPr>
          <w:rFonts w:ascii="Arial" w:cs="Arial" w:eastAsia="Arial" w:hAnsi="Arial"/>
          <w:sz w:val="13"/>
          <w:szCs w:val="13"/>
          <w:color w:val="auto"/>
        </w:rPr>
      </w:pPr>
    </w:p>
    <w:p>
      <w:pPr>
        <w:ind w:left="8"/>
        <w:spacing w:after="0" w:line="305" w:lineRule="auto"/>
        <w:rPr>
          <w:rFonts w:ascii="Arial" w:cs="Arial" w:eastAsia="Arial" w:hAnsi="Arial"/>
          <w:sz w:val="13"/>
          <w:szCs w:val="13"/>
          <w:color w:val="auto"/>
        </w:rPr>
      </w:pPr>
      <w:r>
        <w:rPr>
          <w:rFonts w:ascii="Arial" w:cs="Arial" w:eastAsia="Arial" w:hAnsi="Arial"/>
          <w:sz w:val="14"/>
          <w:szCs w:val="14"/>
          <w:color w:val="auto"/>
        </w:rPr>
        <w:t>(x) 24 months or (y) the period from termination of employment through the remainder of the term, whichever is longer; and (3) in lieu of the Equity Acceleration, Mr. Cifu will be entitled to a pro rata portion of all of the shares underlying his then-current Annual Equity Grant, which shall be deemed vested on the last day of the calendar year to which such award relates.</w:t>
      </w:r>
    </w:p>
    <w:p>
      <w:pPr>
        <w:spacing w:after="0" w:line="135" w:lineRule="exact"/>
        <w:rPr>
          <w:sz w:val="20"/>
          <w:szCs w:val="20"/>
          <w:color w:val="auto"/>
        </w:rPr>
      </w:pPr>
    </w:p>
    <w:p>
      <w:pPr>
        <w:ind w:left="8" w:right="60" w:firstLine="298"/>
        <w:spacing w:after="0" w:line="279" w:lineRule="auto"/>
        <w:rPr>
          <w:sz w:val="20"/>
          <w:szCs w:val="20"/>
          <w:color w:val="auto"/>
        </w:rPr>
      </w:pPr>
      <w:r>
        <w:rPr>
          <w:rFonts w:ascii="Arial" w:cs="Arial" w:eastAsia="Arial" w:hAnsi="Arial"/>
          <w:sz w:val="14"/>
          <w:szCs w:val="14"/>
          <w:color w:val="auto"/>
        </w:rPr>
        <w:t>For purposes of the employment agreement, "change in control" generally means (i) the acquisition by any person of beneficial ownership of 30% or more (on a fully diluted basis) of either (A) the then outstanding shares of common stock of the Company or (B) the combined voting power of the then outstanding voting securities of the Company entitled to vote in the election of directors, but excluding acquisitions by the Company, Vincent Viola and his permitted transferees and their respective affiliates or any employee benefit plan sponsored by the Company or any of its affiliates, (ii) a change in the composition of the board of directors such that members of the board of directors during any consecutive 12-month period cease to constitute a majority of the board of directors, (iii) the approval by the stockholders of the Company of a plan of complete dissolution or liquidation of the Company, or (iv) the consummation of a reorganization, recapitalization, merger, consolidation, statutory share exchange or similar form of corporate transaction involving the Company or sale, transfer or other disposition of all or substantially all of the business or assets of the Company to an entity that is not an affiliate of the Company.</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32" w:right="23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0" w:firstLine="298"/>
        <w:spacing w:after="0" w:line="265" w:lineRule="auto"/>
        <w:rPr>
          <w:sz w:val="20"/>
          <w:szCs w:val="20"/>
          <w:color w:val="auto"/>
        </w:rPr>
      </w:pPr>
      <w:r>
        <w:rPr>
          <w:rFonts w:ascii="Arial" w:cs="Arial" w:eastAsia="Arial" w:hAnsi="Arial"/>
          <w:sz w:val="15"/>
          <w:szCs w:val="15"/>
          <w:color w:val="auto"/>
        </w:rPr>
        <w:t>If any payments to Mr. Cifu are determined to be so-called "golden parachute" payments subject to the excise tax under Section 4999 of the Code, then such payments will be reduced to the extent such reduction would result in the executive retaining a greater net after-tax amount than he would have retained had he received the full amount of the payments and paid the applicable excise tax.</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 Acceleration</w:t>
      </w:r>
    </w:p>
    <w:p>
      <w:pPr>
        <w:spacing w:after="0" w:line="194" w:lineRule="exact"/>
        <w:rPr>
          <w:sz w:val="20"/>
          <w:szCs w:val="20"/>
          <w:color w:val="auto"/>
        </w:rPr>
      </w:pPr>
    </w:p>
    <w:p>
      <w:pPr>
        <w:jc w:val="both"/>
        <w:ind w:right="160" w:firstLine="298"/>
        <w:spacing w:after="0" w:line="325" w:lineRule="auto"/>
        <w:rPr>
          <w:sz w:val="20"/>
          <w:szCs w:val="20"/>
          <w:color w:val="auto"/>
        </w:rPr>
      </w:pPr>
      <w:r>
        <w:rPr>
          <w:rFonts w:ascii="Arial" w:cs="Arial" w:eastAsia="Arial" w:hAnsi="Arial"/>
          <w:sz w:val="13"/>
          <w:szCs w:val="13"/>
          <w:color w:val="auto"/>
        </w:rPr>
        <w:t>If Mr. Cifu's employment with us or our affiliates is terminated (A) by us or our affiliates without cause (as defined in the executive's employment agreement), (B) by the executive for good reason (as defined in the executive's employment agreement), (C) due to the executive's death or (D) by us or our affiliates due to Disability (as defined in the executive's employment agreement), then all of his respective unvested stock options fully accelerate and shall become immediately vested as of the effective date of such termination.</w:t>
      </w:r>
    </w:p>
    <w:p>
      <w:pPr>
        <w:spacing w:after="0" w:line="125" w:lineRule="exact"/>
        <w:rPr>
          <w:sz w:val="20"/>
          <w:szCs w:val="20"/>
          <w:color w:val="auto"/>
        </w:rPr>
      </w:pPr>
    </w:p>
    <w:p>
      <w:pPr>
        <w:ind w:right="80" w:firstLine="298"/>
        <w:spacing w:after="0" w:line="262" w:lineRule="auto"/>
        <w:rPr>
          <w:sz w:val="20"/>
          <w:szCs w:val="20"/>
          <w:color w:val="auto"/>
        </w:rPr>
      </w:pPr>
      <w:r>
        <w:rPr>
          <w:rFonts w:ascii="Arial" w:cs="Arial" w:eastAsia="Arial" w:hAnsi="Arial"/>
          <w:sz w:val="15"/>
          <w:szCs w:val="15"/>
          <w:color w:val="auto"/>
        </w:rPr>
        <w:t>Under the Molluso Equity Award, if Mr. Molluso's employment with us or our affiliates is terminated (A) by us or our affiliates without cause (as defined in the 2015 Plan), (B) by the executive for good reason (as defined in the applicable award agreement), (C) due to the executive's death or (D) by us or our affiliates due to Disability (as defined in the 2015 Plan), then, a prorated portion of 40,000 RSUs will immediately vest and, in the event such termination is prior to the second anniversary of the date of grant, the RSUs scheduled to vest on the next anniversary of the date of grant shall immediately vest.</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December 31, 2018, Mr. Cavoli was not entitled to any payments or benefits in connection with the termination of his employment or a change in control.</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Death,</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Disability,</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Termination</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Without Cause</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or for Good</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Non-Renewal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Death,</w:t>
            </w: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Reason 60 Days</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by the Company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Disability,</w:t>
            </w: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Prior to or</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60 Days Prior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Termination</w:t>
            </w: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24 Months</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to or 24 Months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Without Cause</w:t>
            </w: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Following a</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Following a</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or for Good</w:t>
            </w: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Change in</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Non-Renewal by</w:t>
            </w:r>
          </w:p>
        </w:tc>
        <w:tc>
          <w:tcPr>
            <w:tcW w:w="10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Change in</w:t>
            </w:r>
          </w:p>
        </w:tc>
        <w:tc>
          <w:tcPr>
            <w:tcW w:w="0" w:type="dxa"/>
            <w:vAlign w:val="bottom"/>
          </w:tcPr>
          <w:p>
            <w:pPr>
              <w:spacing w:after="0"/>
              <w:rPr>
                <w:sz w:val="1"/>
                <w:szCs w:val="1"/>
                <w:color w:val="auto"/>
              </w:rPr>
            </w:pPr>
          </w:p>
        </w:tc>
      </w:tr>
      <w:tr>
        <w:trPr>
          <w:trHeight w:val="137"/>
        </w:trPr>
        <w:tc>
          <w:tcPr>
            <w:tcW w:w="494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Reason ($)</w:t>
            </w: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Control ($)</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the Company ($)</w:t>
            </w:r>
          </w:p>
        </w:tc>
        <w:tc>
          <w:tcPr>
            <w:tcW w:w="10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Control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920" w:type="dxa"/>
            <w:vAlign w:val="bottom"/>
            <w:gridSpan w:val="3"/>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Douglas A. Cifu</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20" w:type="dxa"/>
            <w:vAlign w:val="bottom"/>
            <w:gridSpan w:val="3"/>
          </w:tcPr>
          <w:p>
            <w:pPr>
              <w:spacing w:after="0"/>
              <w:rPr>
                <w:sz w:val="20"/>
                <w:szCs w:val="20"/>
                <w:color w:val="auto"/>
              </w:rPr>
            </w:pPr>
            <w:r>
              <w:rPr>
                <w:rFonts w:ascii="Arial" w:cs="Arial" w:eastAsia="Arial" w:hAnsi="Arial"/>
                <w:sz w:val="11"/>
                <w:szCs w:val="11"/>
                <w:i w:val="1"/>
                <w:iCs w:val="1"/>
                <w:color w:val="auto"/>
              </w:rPr>
              <w:t>Severance</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3,977,318(1)</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5,100,606(2)</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3,977,318(1)</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5,100,606(2)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Restricted Stock</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5,796,000(3)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5,796,000(3)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5,796,000(3)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5,796,000(3)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20" w:type="dxa"/>
            <w:vAlign w:val="bottom"/>
            <w:gridSpan w:val="3"/>
          </w:tcPr>
          <w:p>
            <w:pPr>
              <w:spacing w:after="0"/>
              <w:rPr>
                <w:sz w:val="20"/>
                <w:szCs w:val="20"/>
                <w:color w:val="auto"/>
              </w:rPr>
            </w:pPr>
            <w:r>
              <w:rPr>
                <w:rFonts w:ascii="Arial" w:cs="Arial" w:eastAsia="Arial" w:hAnsi="Arial"/>
                <w:sz w:val="11"/>
                <w:szCs w:val="11"/>
                <w:i w:val="1"/>
                <w:iCs w:val="1"/>
                <w:color w:val="auto"/>
              </w:rPr>
              <w:t>Stock Options</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676,000(4)</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676,000(4)</w:t>
            </w: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Joseph Molluso</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20" w:type="dxa"/>
            <w:vAlign w:val="bottom"/>
            <w:gridSpan w:val="3"/>
          </w:tcPr>
          <w:p>
            <w:pPr>
              <w:spacing w:after="0"/>
              <w:rPr>
                <w:sz w:val="20"/>
                <w:szCs w:val="20"/>
                <w:color w:val="auto"/>
              </w:rPr>
            </w:pPr>
            <w:r>
              <w:rPr>
                <w:rFonts w:ascii="Arial" w:cs="Arial" w:eastAsia="Arial" w:hAnsi="Arial"/>
                <w:sz w:val="11"/>
                <w:szCs w:val="11"/>
                <w:i w:val="1"/>
                <w:iCs w:val="1"/>
                <w:color w:val="auto"/>
              </w:rPr>
              <w:t>Severance</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Restricted Stock Units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1,834,959(5)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1,834,959(5)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20" w:type="dxa"/>
            <w:vAlign w:val="bottom"/>
            <w:gridSpan w:val="3"/>
          </w:tcPr>
          <w:p>
            <w:pPr>
              <w:spacing w:after="0"/>
              <w:rPr>
                <w:sz w:val="20"/>
                <w:szCs w:val="20"/>
                <w:color w:val="auto"/>
              </w:rPr>
            </w:pPr>
            <w:r>
              <w:rPr>
                <w:rFonts w:ascii="Arial" w:cs="Arial" w:eastAsia="Arial" w:hAnsi="Arial"/>
                <w:sz w:val="11"/>
                <w:szCs w:val="11"/>
                <w:b w:val="1"/>
                <w:bCs w:val="1"/>
                <w:color w:val="auto"/>
              </w:rPr>
              <w:t>Stephen Cavoli</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Severance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20" w:type="dxa"/>
            <w:vAlign w:val="bottom"/>
            <w:gridSpan w:val="3"/>
          </w:tcPr>
          <w:p>
            <w:pPr>
              <w:spacing w:after="0"/>
              <w:rPr>
                <w:sz w:val="20"/>
                <w:szCs w:val="20"/>
                <w:color w:val="auto"/>
              </w:rPr>
            </w:pPr>
            <w:r>
              <w:rPr>
                <w:rFonts w:ascii="Arial" w:cs="Arial" w:eastAsia="Arial" w:hAnsi="Arial"/>
                <w:sz w:val="11"/>
                <w:szCs w:val="11"/>
                <w:i w:val="1"/>
                <w:iCs w:val="1"/>
                <w:color w:val="auto"/>
              </w:rPr>
              <w:t>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71"/>
        </w:trPr>
        <w:tc>
          <w:tcPr>
            <w:tcW w:w="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2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00" w:right="500" w:hanging="464"/>
        <w:spacing w:after="0" w:line="275" w:lineRule="auto"/>
        <w:tabs>
          <w:tab w:leader="none" w:pos="1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Represents a cash severance payment of an amount equal to (i) base salary continuation and (ii) continued health, dental, vision and life insurance benefits through the remainder of the employment term (i.e., November 15, 2022)</w:t>
      </w:r>
    </w:p>
    <w:p>
      <w:pPr>
        <w:spacing w:after="0" w:line="76" w:lineRule="exact"/>
        <w:rPr>
          <w:rFonts w:ascii="Arial" w:cs="Arial" w:eastAsia="Arial" w:hAnsi="Arial"/>
          <w:sz w:val="11"/>
          <w:szCs w:val="11"/>
          <w:color w:val="auto"/>
        </w:rPr>
      </w:pPr>
    </w:p>
    <w:p>
      <w:pPr>
        <w:ind w:left="1600" w:right="140" w:hanging="464"/>
        <w:spacing w:after="0" w:line="275" w:lineRule="auto"/>
        <w:tabs>
          <w:tab w:leader="none" w:pos="1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Represents a cash severance payment of an amount equal to (i) 2.5 times the sum of (a) executive's base salary and (b) the most recently awarded annual bonus (which was $1,000,000) and (ii) continued health, dental, vision and life insurance benefits through the remainder of the employment term (i.e., November 15, 2022)</w:t>
      </w:r>
    </w:p>
    <w:p>
      <w:pPr>
        <w:spacing w:after="0" w:line="76" w:lineRule="exact"/>
        <w:rPr>
          <w:rFonts w:ascii="Arial" w:cs="Arial" w:eastAsia="Arial" w:hAnsi="Arial"/>
          <w:sz w:val="11"/>
          <w:szCs w:val="11"/>
          <w:color w:val="auto"/>
        </w:rPr>
      </w:pPr>
    </w:p>
    <w:p>
      <w:pPr>
        <w:ind w:left="1600" w:hanging="464"/>
        <w:spacing w:after="0" w:line="257" w:lineRule="auto"/>
        <w:tabs>
          <w:tab w:leader="none" w:pos="1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Represents the value of (i) accelerated vesting of a pro rata portion of all of the shares underlying his then-current Annual Equity Grant based on shares earned and (ii) a grant of 150,000 shares of Class A common stock. As of December 31, 2018, Mr. Cifu had 75,000 earned but unvested shares of restricted stock underlying his then current-Annual Equity Grant which are deemed vested as of such date for purposes of clause (i) of the foregoing sentence</w:t>
      </w:r>
    </w:p>
    <w:p>
      <w:pPr>
        <w:spacing w:after="0" w:line="85" w:lineRule="exact"/>
        <w:rPr>
          <w:rFonts w:ascii="Arial" w:cs="Arial" w:eastAsia="Arial" w:hAnsi="Arial"/>
          <w:sz w:val="11"/>
          <w:szCs w:val="11"/>
          <w:color w:val="auto"/>
        </w:rPr>
      </w:pPr>
    </w:p>
    <w:p>
      <w:pPr>
        <w:ind w:left="1600" w:hanging="464"/>
        <w:spacing w:after="0"/>
        <w:tabs>
          <w:tab w:leader="none" w:pos="1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Represents the cash-out value of unvested options at the fair market value of our Class A common stock on December 31, 2018 (the last day of Fiscal 2018)</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Represents the value of accelerated vesting of 71,233 RSUs at the fair market value of our Class A common stock on December 31, 2018 (the last day of Fiscal 2018)</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COMPENSATION OF DIRECTORS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compensation payable to our non-employee directors consists of the following:</w:t>
      </w:r>
    </w:p>
    <w:p>
      <w:pPr>
        <w:spacing w:after="0" w:line="205" w:lineRule="exact"/>
        <w:rPr>
          <w:sz w:val="20"/>
          <w:szCs w:val="20"/>
          <w:color w:val="auto"/>
        </w:rPr>
      </w:pPr>
    </w:p>
    <w:p>
      <w:pPr>
        <w:ind w:left="900" w:right="100" w:hanging="451"/>
        <w:spacing w:after="0" w:line="277"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award of restricted stock units valued at $135,000 at the time of grant upon re-election at each subsequent annual meeting of stockholders. The restricted stock units vest on the one-year anniversary of the date of grant;</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annual cash retainer of $75,000, with no additional fees paid for board and committee meetings attended;</w:t>
      </w:r>
    </w:p>
    <w:p>
      <w:pPr>
        <w:spacing w:after="0" w:line="205" w:lineRule="exact"/>
        <w:rPr>
          <w:rFonts w:ascii="Arial" w:cs="Arial" w:eastAsia="Arial" w:hAnsi="Arial"/>
          <w:sz w:val="15"/>
          <w:szCs w:val="15"/>
          <w:color w:val="auto"/>
        </w:rPr>
      </w:pPr>
    </w:p>
    <w:p>
      <w:pPr>
        <w:ind w:left="900" w:right="540" w:hanging="451"/>
        <w:spacing w:after="0" w:line="356" w:lineRule="auto"/>
        <w:tabs>
          <w:tab w:leader="none" w:pos="9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 annual cash retainer of $150,000 for the non-executive chairman of the board of directors, $25,000 for the chair of the Audit Committee, $20,000 for the chair of the Compensation Committee, $20,000 for the chair of the Nominating and Corporate Governance Committee and $20,000 for the chair of the Risk Committee; and</w:t>
      </w:r>
    </w:p>
    <w:p>
      <w:pPr>
        <w:spacing w:after="0" w:line="117" w:lineRule="exact"/>
        <w:rPr>
          <w:rFonts w:ascii="Arial" w:cs="Arial" w:eastAsia="Arial" w:hAnsi="Arial"/>
          <w:sz w:val="13"/>
          <w:szCs w:val="13"/>
          <w:color w:val="auto"/>
        </w:rPr>
      </w:pPr>
    </w:p>
    <w:p>
      <w:pPr>
        <w:ind w:left="900" w:right="300" w:hanging="451"/>
        <w:spacing w:after="0" w:line="277"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annual cash retainer of $10,000 for members of the Audit Committee, $7,500 for members of the Compensation Committee, $7,500 for members of the Nominating and Corporate Governance Committee, and $7,500 for members of the Risk Committee.</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After four years of service non-employee directors must maintain a minimum stock ownership equal to $225,000.</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compensation earned by our directors during the year ended December 31, 2018.</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Fees Earned or</w:t>
            </w:r>
          </w:p>
        </w:tc>
        <w:tc>
          <w:tcPr>
            <w:tcW w:w="860" w:type="dxa"/>
            <w:vAlign w:val="bottom"/>
          </w:tcPr>
          <w:p>
            <w:pPr>
              <w:jc w:val="right"/>
              <w:ind w:right="188"/>
              <w:spacing w:after="0"/>
              <w:rPr>
                <w:sz w:val="20"/>
                <w:szCs w:val="20"/>
                <w:color w:val="auto"/>
              </w:rPr>
            </w:pPr>
            <w:r>
              <w:rPr>
                <w:rFonts w:ascii="Arial" w:cs="Arial" w:eastAsia="Arial" w:hAnsi="Arial"/>
                <w:sz w:val="11"/>
                <w:szCs w:val="11"/>
                <w:b w:val="1"/>
                <w:bCs w:val="1"/>
                <w:color w:val="auto"/>
              </w:rPr>
              <w:t>Equity</w:t>
            </w:r>
          </w:p>
        </w:tc>
        <w:tc>
          <w:tcPr>
            <w:tcW w:w="140" w:type="dxa"/>
            <w:vAlign w:val="bottom"/>
          </w:tcPr>
          <w:p>
            <w:pPr>
              <w:spacing w:after="0"/>
              <w:rPr>
                <w:sz w:val="10"/>
                <w:szCs w:val="10"/>
                <w:color w:val="auto"/>
              </w:rPr>
            </w:pPr>
          </w:p>
        </w:tc>
        <w:tc>
          <w:tcPr>
            <w:tcW w:w="1040" w:type="dxa"/>
            <w:vAlign w:val="bottom"/>
          </w:tcPr>
          <w:p>
            <w:pPr>
              <w:ind w:left="280"/>
              <w:spacing w:after="0"/>
              <w:rPr>
                <w:sz w:val="20"/>
                <w:szCs w:val="20"/>
                <w:color w:val="auto"/>
              </w:rPr>
            </w:pPr>
            <w:r>
              <w:rPr>
                <w:rFonts w:ascii="Arial" w:cs="Arial" w:eastAsia="Arial" w:hAnsi="Arial"/>
                <w:sz w:val="11"/>
                <w:szCs w:val="11"/>
                <w:b w:val="1"/>
                <w:bCs w:val="1"/>
                <w:color w:val="auto"/>
              </w:rPr>
              <w:t>All Other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02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Paid in Cash ($)(1)</w:t>
            </w:r>
          </w:p>
        </w:tc>
        <w:tc>
          <w:tcPr>
            <w:tcW w:w="14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Award(s)(2)(3)</w:t>
            </w:r>
          </w:p>
        </w:tc>
        <w:tc>
          <w:tcPr>
            <w:tcW w:w="140" w:type="dxa"/>
            <w:vAlign w:val="bottom"/>
          </w:tcPr>
          <w:p>
            <w:pPr>
              <w:spacing w:after="0"/>
              <w:rPr>
                <w:sz w:val="13"/>
                <w:szCs w:val="13"/>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Compensation ($)</w:t>
            </w:r>
          </w:p>
        </w:tc>
        <w:tc>
          <w:tcPr>
            <w:tcW w:w="140" w:type="dxa"/>
            <w:vAlign w:val="bottom"/>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Total ($)</w:t>
            </w:r>
          </w:p>
        </w:tc>
        <w:tc>
          <w:tcPr>
            <w:tcW w:w="140" w:type="dxa"/>
            <w:vAlign w:val="bottom"/>
          </w:tcPr>
          <w:p>
            <w:pPr>
              <w:spacing w:after="0"/>
              <w:rPr>
                <w:sz w:val="13"/>
                <w:szCs w:val="13"/>
                <w:color w:val="auto"/>
              </w:rPr>
            </w:pPr>
          </w:p>
        </w:tc>
      </w:tr>
      <w:tr>
        <w:trPr>
          <w:trHeight w:val="155"/>
        </w:trPr>
        <w:tc>
          <w:tcPr>
            <w:tcW w:w="2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w w:val="79"/>
              </w:rPr>
              <w:t>John</w:t>
            </w:r>
          </w:p>
        </w:tc>
        <w:tc>
          <w:tcPr>
            <w:tcW w:w="4740" w:type="dxa"/>
            <w:vAlign w:val="bottom"/>
            <w:tcBorders>
              <w:top w:val="single" w:sz="8" w:color="CCEEFF"/>
            </w:tcBorders>
            <w:gridSpan w:val="2"/>
            <w:shd w:val="clear" w:color="auto" w:fill="CCEEFF"/>
          </w:tcPr>
          <w:p>
            <w:pPr>
              <w:ind w:left="40"/>
              <w:spacing w:after="0" w:line="155" w:lineRule="exact"/>
              <w:rPr>
                <w:sz w:val="20"/>
                <w:szCs w:val="20"/>
                <w:color w:val="auto"/>
              </w:rPr>
            </w:pPr>
            <w:r>
              <w:rPr>
                <w:rFonts w:ascii="Arial" w:cs="Arial" w:eastAsia="Arial" w:hAnsi="Arial"/>
                <w:sz w:val="15"/>
                <w:szCs w:val="15"/>
                <w:color w:val="auto"/>
              </w:rPr>
              <w:t>P. Abizaid</w:t>
            </w:r>
          </w:p>
        </w:tc>
        <w:tc>
          <w:tcPr>
            <w:tcW w:w="1260" w:type="dxa"/>
            <w:vAlign w:val="bottom"/>
            <w:tcBorders>
              <w:top w:val="single" w:sz="8" w:color="CCEEFF"/>
            </w:tcBorders>
            <w:gridSpan w:val="2"/>
            <w:shd w:val="clear" w:color="auto" w:fill="CCEEFF"/>
          </w:tcPr>
          <w:p>
            <w:pPr>
              <w:jc w:val="right"/>
              <w:ind w:right="140"/>
              <w:spacing w:after="0" w:line="155" w:lineRule="exact"/>
              <w:rPr>
                <w:sz w:val="20"/>
                <w:szCs w:val="20"/>
                <w:color w:val="auto"/>
              </w:rPr>
            </w:pPr>
            <w:r>
              <w:rPr>
                <w:rFonts w:ascii="Arial" w:cs="Arial" w:eastAsia="Arial" w:hAnsi="Arial"/>
                <w:sz w:val="15"/>
                <w:szCs w:val="15"/>
                <w:color w:val="auto"/>
              </w:rPr>
              <w:t>102,500</w:t>
            </w:r>
          </w:p>
        </w:tc>
        <w:tc>
          <w:tcPr>
            <w:tcW w:w="86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135,000</w:t>
            </w: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ind w:left="880"/>
              <w:spacing w:after="0" w:line="155" w:lineRule="exact"/>
              <w:rPr>
                <w:sz w:val="20"/>
                <w:szCs w:val="20"/>
                <w:color w:val="auto"/>
              </w:rPr>
            </w:pPr>
            <w:r>
              <w:rPr>
                <w:rFonts w:ascii="Arial" w:cs="Arial" w:eastAsia="Arial" w:hAnsi="Arial"/>
                <w:sz w:val="15"/>
                <w:szCs w:val="15"/>
                <w:color w:val="auto"/>
                <w:w w:val="93"/>
              </w:rPr>
              <w:t>—</w:t>
            </w:r>
          </w:p>
        </w:tc>
        <w:tc>
          <w:tcPr>
            <w:tcW w:w="860" w:type="dxa"/>
            <w:vAlign w:val="bottom"/>
            <w:tcBorders>
              <w:top w:val="single" w:sz="8" w:color="CCEEFF"/>
            </w:tcBorders>
            <w:gridSpan w:val="3"/>
            <w:shd w:val="clear" w:color="auto" w:fill="CCEEFF"/>
          </w:tcPr>
          <w:p>
            <w:pPr>
              <w:jc w:val="right"/>
              <w:ind w:right="140"/>
              <w:spacing w:after="0" w:line="155" w:lineRule="exact"/>
              <w:rPr>
                <w:sz w:val="20"/>
                <w:szCs w:val="20"/>
                <w:color w:val="auto"/>
              </w:rPr>
            </w:pPr>
            <w:r>
              <w:rPr>
                <w:rFonts w:ascii="Arial" w:cs="Arial" w:eastAsia="Arial" w:hAnsi="Arial"/>
                <w:sz w:val="15"/>
                <w:szCs w:val="15"/>
                <w:color w:val="auto"/>
              </w:rPr>
              <w:t>237,500</w:t>
            </w:r>
          </w:p>
        </w:tc>
      </w:tr>
      <w:tr>
        <w:trPr>
          <w:trHeight w:val="183"/>
        </w:trPr>
        <w:tc>
          <w:tcPr>
            <w:tcW w:w="5020" w:type="dxa"/>
            <w:vAlign w:val="bottom"/>
            <w:gridSpan w:val="3"/>
          </w:tcPr>
          <w:p>
            <w:pPr>
              <w:spacing w:after="0"/>
              <w:rPr>
                <w:sz w:val="20"/>
                <w:szCs w:val="20"/>
                <w:color w:val="auto"/>
              </w:rPr>
            </w:pPr>
            <w:r>
              <w:rPr>
                <w:rFonts w:ascii="Arial" w:cs="Arial" w:eastAsia="Arial" w:hAnsi="Arial"/>
                <w:sz w:val="15"/>
                <w:szCs w:val="15"/>
                <w:color w:val="auto"/>
              </w:rPr>
              <w:t>Douglas A. Cifu</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40" w:type="dxa"/>
            <w:vAlign w:val="bottom"/>
          </w:tcPr>
          <w:p>
            <w:pPr>
              <w:ind w:left="88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5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William F. Cruger, Jr</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100,000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135,000</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80"/>
              <w:spacing w:after="0"/>
              <w:rPr>
                <w:sz w:val="20"/>
                <w:szCs w:val="20"/>
                <w:color w:val="auto"/>
              </w:rPr>
            </w:pPr>
            <w:r>
              <w:rPr>
                <w:rFonts w:ascii="Arial" w:cs="Arial" w:eastAsia="Arial" w:hAnsi="Arial"/>
                <w:sz w:val="15"/>
                <w:szCs w:val="15"/>
                <w:color w:val="auto"/>
                <w:w w:val="93"/>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235,000</w:t>
            </w:r>
          </w:p>
        </w:tc>
      </w:tr>
      <w:tr>
        <w:trPr>
          <w:trHeight w:val="183"/>
        </w:trPr>
        <w:tc>
          <w:tcPr>
            <w:tcW w:w="5020" w:type="dxa"/>
            <w:vAlign w:val="bottom"/>
            <w:gridSpan w:val="3"/>
          </w:tcPr>
          <w:p>
            <w:pPr>
              <w:spacing w:after="0"/>
              <w:rPr>
                <w:sz w:val="20"/>
                <w:szCs w:val="20"/>
                <w:color w:val="auto"/>
              </w:rPr>
            </w:pPr>
            <w:r>
              <w:rPr>
                <w:rFonts w:ascii="Arial" w:cs="Arial" w:eastAsia="Arial" w:hAnsi="Arial"/>
                <w:sz w:val="15"/>
                <w:szCs w:val="15"/>
                <w:color w:val="auto"/>
              </w:rPr>
              <w:t>John D. Nixon</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95,625</w:t>
            </w:r>
          </w:p>
        </w:tc>
        <w:tc>
          <w:tcPr>
            <w:tcW w:w="860" w:type="dxa"/>
            <w:vAlign w:val="bottom"/>
          </w:tcPr>
          <w:p>
            <w:pPr>
              <w:jc w:val="right"/>
              <w:spacing w:after="0"/>
              <w:rPr>
                <w:sz w:val="20"/>
                <w:szCs w:val="20"/>
                <w:color w:val="auto"/>
              </w:rPr>
            </w:pPr>
            <w:r>
              <w:rPr>
                <w:rFonts w:ascii="Arial" w:cs="Arial" w:eastAsia="Arial" w:hAnsi="Arial"/>
                <w:sz w:val="15"/>
                <w:szCs w:val="15"/>
                <w:color w:val="auto"/>
              </w:rPr>
              <w:t>135,000</w:t>
            </w:r>
          </w:p>
        </w:tc>
        <w:tc>
          <w:tcPr>
            <w:tcW w:w="140" w:type="dxa"/>
            <w:vAlign w:val="bottom"/>
          </w:tcPr>
          <w:p>
            <w:pPr>
              <w:spacing w:after="0"/>
              <w:rPr>
                <w:sz w:val="15"/>
                <w:szCs w:val="15"/>
                <w:color w:val="auto"/>
              </w:rPr>
            </w:pPr>
          </w:p>
        </w:tc>
        <w:tc>
          <w:tcPr>
            <w:tcW w:w="1040" w:type="dxa"/>
            <w:vAlign w:val="bottom"/>
          </w:tcPr>
          <w:p>
            <w:pPr>
              <w:ind w:left="880"/>
              <w:spacing w:after="0"/>
              <w:rPr>
                <w:sz w:val="20"/>
                <w:szCs w:val="20"/>
                <w:color w:val="auto"/>
              </w:rPr>
            </w:pPr>
            <w:r>
              <w:rPr>
                <w:rFonts w:ascii="Arial" w:cs="Arial" w:eastAsia="Arial" w:hAnsi="Arial"/>
                <w:sz w:val="15"/>
                <w:szCs w:val="15"/>
                <w:color w:val="auto"/>
                <w:w w:val="93"/>
              </w:rPr>
              <w:t>—</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230,625</w:t>
            </w:r>
          </w:p>
        </w:tc>
      </w:tr>
      <w:tr>
        <w:trPr>
          <w:trHeight w:val="183"/>
        </w:trPr>
        <w:tc>
          <w:tcPr>
            <w:tcW w:w="5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John F. (Jack) Sandner</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95,625</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135,000</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80"/>
              <w:spacing w:after="0"/>
              <w:rPr>
                <w:sz w:val="20"/>
                <w:szCs w:val="20"/>
                <w:color w:val="auto"/>
              </w:rPr>
            </w:pPr>
            <w:r>
              <w:rPr>
                <w:rFonts w:ascii="Arial" w:cs="Arial" w:eastAsia="Arial" w:hAnsi="Arial"/>
                <w:sz w:val="15"/>
                <w:szCs w:val="15"/>
                <w:color w:val="auto"/>
                <w:w w:val="93"/>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223,964</w:t>
            </w:r>
          </w:p>
        </w:tc>
      </w:tr>
      <w:tr>
        <w:trPr>
          <w:trHeight w:val="183"/>
        </w:trPr>
        <w:tc>
          <w:tcPr>
            <w:tcW w:w="5020" w:type="dxa"/>
            <w:vAlign w:val="bottom"/>
            <w:gridSpan w:val="3"/>
          </w:tcPr>
          <w:p>
            <w:pPr>
              <w:spacing w:after="0"/>
              <w:rPr>
                <w:sz w:val="20"/>
                <w:szCs w:val="20"/>
                <w:color w:val="auto"/>
              </w:rPr>
            </w:pPr>
            <w:r>
              <w:rPr>
                <w:rFonts w:ascii="Arial" w:cs="Arial" w:eastAsia="Arial" w:hAnsi="Arial"/>
                <w:sz w:val="15"/>
                <w:szCs w:val="15"/>
                <w:color w:val="auto"/>
              </w:rPr>
              <w:t>Vincent Viola</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40" w:type="dxa"/>
            <w:vAlign w:val="bottom"/>
          </w:tcPr>
          <w:p>
            <w:pPr>
              <w:ind w:left="88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5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Michael T. Viola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82,500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135,000</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80"/>
              <w:spacing w:after="0"/>
              <w:rPr>
                <w:sz w:val="20"/>
                <w:szCs w:val="20"/>
                <w:color w:val="auto"/>
              </w:rPr>
            </w:pPr>
            <w:r>
              <w:rPr>
                <w:rFonts w:ascii="Arial" w:cs="Arial" w:eastAsia="Arial" w:hAnsi="Arial"/>
                <w:sz w:val="15"/>
                <w:szCs w:val="15"/>
                <w:color w:val="auto"/>
                <w:w w:val="93"/>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217,500</w:t>
            </w:r>
          </w:p>
        </w:tc>
      </w:tr>
      <w:tr>
        <w:trPr>
          <w:trHeight w:val="183"/>
        </w:trPr>
        <w:tc>
          <w:tcPr>
            <w:tcW w:w="5020" w:type="dxa"/>
            <w:vAlign w:val="bottom"/>
            <w:gridSpan w:val="3"/>
          </w:tcPr>
          <w:p>
            <w:pPr>
              <w:spacing w:after="0"/>
              <w:rPr>
                <w:sz w:val="20"/>
                <w:szCs w:val="20"/>
                <w:color w:val="auto"/>
              </w:rPr>
            </w:pPr>
            <w:r>
              <w:rPr>
                <w:rFonts w:ascii="Arial" w:cs="Arial" w:eastAsia="Arial" w:hAnsi="Arial"/>
                <w:sz w:val="15"/>
                <w:szCs w:val="15"/>
                <w:color w:val="auto"/>
              </w:rPr>
              <w:t>Christopher C. Quick</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92,500</w:t>
            </w:r>
          </w:p>
        </w:tc>
        <w:tc>
          <w:tcPr>
            <w:tcW w:w="860" w:type="dxa"/>
            <w:vAlign w:val="bottom"/>
          </w:tcPr>
          <w:p>
            <w:pPr>
              <w:jc w:val="right"/>
              <w:spacing w:after="0"/>
              <w:rPr>
                <w:sz w:val="20"/>
                <w:szCs w:val="20"/>
                <w:color w:val="auto"/>
              </w:rPr>
            </w:pPr>
            <w:r>
              <w:rPr>
                <w:rFonts w:ascii="Arial" w:cs="Arial" w:eastAsia="Arial" w:hAnsi="Arial"/>
                <w:sz w:val="15"/>
                <w:szCs w:val="15"/>
                <w:color w:val="auto"/>
              </w:rPr>
              <w:t>135,000</w:t>
            </w:r>
          </w:p>
        </w:tc>
        <w:tc>
          <w:tcPr>
            <w:tcW w:w="140" w:type="dxa"/>
            <w:vAlign w:val="bottom"/>
          </w:tcPr>
          <w:p>
            <w:pPr>
              <w:spacing w:after="0"/>
              <w:rPr>
                <w:sz w:val="15"/>
                <w:szCs w:val="15"/>
                <w:color w:val="auto"/>
              </w:rPr>
            </w:pPr>
          </w:p>
        </w:tc>
        <w:tc>
          <w:tcPr>
            <w:tcW w:w="1040" w:type="dxa"/>
            <w:vAlign w:val="bottom"/>
          </w:tcPr>
          <w:p>
            <w:pPr>
              <w:ind w:left="880"/>
              <w:spacing w:after="0"/>
              <w:rPr>
                <w:sz w:val="20"/>
                <w:szCs w:val="20"/>
                <w:color w:val="auto"/>
              </w:rPr>
            </w:pPr>
            <w:r>
              <w:rPr>
                <w:rFonts w:ascii="Arial" w:cs="Arial" w:eastAsia="Arial" w:hAnsi="Arial"/>
                <w:sz w:val="15"/>
                <w:szCs w:val="15"/>
                <w:color w:val="auto"/>
                <w:w w:val="93"/>
              </w:rPr>
              <w:t>—</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227,500</w:t>
            </w:r>
          </w:p>
        </w:tc>
      </w:tr>
      <w:tr>
        <w:trPr>
          <w:trHeight w:val="183"/>
        </w:trPr>
        <w:tc>
          <w:tcPr>
            <w:tcW w:w="5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Robert Greifeld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240,000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135,000</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80"/>
              <w:spacing w:after="0"/>
              <w:rPr>
                <w:sz w:val="20"/>
                <w:szCs w:val="20"/>
                <w:color w:val="auto"/>
              </w:rPr>
            </w:pPr>
            <w:r>
              <w:rPr>
                <w:rFonts w:ascii="Arial" w:cs="Arial" w:eastAsia="Arial" w:hAnsi="Arial"/>
                <w:sz w:val="15"/>
                <w:szCs w:val="15"/>
                <w:color w:val="auto"/>
                <w:w w:val="93"/>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375,000</w:t>
            </w:r>
          </w:p>
        </w:tc>
      </w:tr>
      <w:tr>
        <w:trPr>
          <w:trHeight w:val="183"/>
        </w:trPr>
        <w:tc>
          <w:tcPr>
            <w:tcW w:w="5020" w:type="dxa"/>
            <w:vAlign w:val="bottom"/>
            <w:gridSpan w:val="3"/>
          </w:tcPr>
          <w:p>
            <w:pPr>
              <w:spacing w:after="0"/>
              <w:rPr>
                <w:sz w:val="20"/>
                <w:szCs w:val="20"/>
                <w:color w:val="auto"/>
              </w:rPr>
            </w:pPr>
            <w:r>
              <w:rPr>
                <w:rFonts w:ascii="Arial" w:cs="Arial" w:eastAsia="Arial" w:hAnsi="Arial"/>
                <w:sz w:val="15"/>
                <w:szCs w:val="15"/>
                <w:color w:val="auto"/>
              </w:rPr>
              <w:t>Glenn Hutchins</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95,000</w:t>
            </w:r>
          </w:p>
        </w:tc>
        <w:tc>
          <w:tcPr>
            <w:tcW w:w="860" w:type="dxa"/>
            <w:vAlign w:val="bottom"/>
          </w:tcPr>
          <w:p>
            <w:pPr>
              <w:jc w:val="right"/>
              <w:spacing w:after="0"/>
              <w:rPr>
                <w:sz w:val="20"/>
                <w:szCs w:val="20"/>
                <w:color w:val="auto"/>
              </w:rPr>
            </w:pPr>
            <w:r>
              <w:rPr>
                <w:rFonts w:ascii="Arial" w:cs="Arial" w:eastAsia="Arial" w:hAnsi="Arial"/>
                <w:sz w:val="15"/>
                <w:szCs w:val="15"/>
                <w:color w:val="auto"/>
              </w:rPr>
              <w:t>135,000</w:t>
            </w:r>
          </w:p>
        </w:tc>
        <w:tc>
          <w:tcPr>
            <w:tcW w:w="140" w:type="dxa"/>
            <w:vAlign w:val="bottom"/>
          </w:tcPr>
          <w:p>
            <w:pPr>
              <w:spacing w:after="0"/>
              <w:rPr>
                <w:sz w:val="15"/>
                <w:szCs w:val="15"/>
                <w:color w:val="auto"/>
              </w:rPr>
            </w:pPr>
          </w:p>
        </w:tc>
        <w:tc>
          <w:tcPr>
            <w:tcW w:w="1040" w:type="dxa"/>
            <w:vAlign w:val="bottom"/>
          </w:tcPr>
          <w:p>
            <w:pPr>
              <w:ind w:left="880"/>
              <w:spacing w:after="0"/>
              <w:rPr>
                <w:sz w:val="20"/>
                <w:szCs w:val="20"/>
                <w:color w:val="auto"/>
              </w:rPr>
            </w:pPr>
            <w:r>
              <w:rPr>
                <w:rFonts w:ascii="Arial" w:cs="Arial" w:eastAsia="Arial" w:hAnsi="Arial"/>
                <w:sz w:val="15"/>
                <w:szCs w:val="15"/>
                <w:color w:val="auto"/>
                <w:w w:val="93"/>
              </w:rPr>
              <w:t>—</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230,000</w:t>
            </w:r>
          </w:p>
        </w:tc>
      </w:tr>
      <w:tr>
        <w:trPr>
          <w:trHeight w:val="183"/>
        </w:trPr>
        <w:tc>
          <w:tcPr>
            <w:tcW w:w="5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Joseph J. Grano, Jr.</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85,000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135,000</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80"/>
              <w:spacing w:after="0"/>
              <w:rPr>
                <w:sz w:val="20"/>
                <w:szCs w:val="20"/>
                <w:color w:val="auto"/>
              </w:rPr>
            </w:pPr>
            <w:r>
              <w:rPr>
                <w:rFonts w:ascii="Arial" w:cs="Arial" w:eastAsia="Arial" w:hAnsi="Arial"/>
                <w:sz w:val="15"/>
                <w:szCs w:val="15"/>
                <w:color w:val="auto"/>
                <w:w w:val="93"/>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220,000</w:t>
            </w:r>
          </w:p>
        </w:tc>
      </w:tr>
      <w:tr>
        <w:trPr>
          <w:trHeight w:val="189"/>
        </w:trPr>
        <w:tc>
          <w:tcPr>
            <w:tcW w:w="5020" w:type="dxa"/>
            <w:vAlign w:val="bottom"/>
            <w:gridSpan w:val="3"/>
          </w:tcPr>
          <w:p>
            <w:pPr>
              <w:spacing w:after="0"/>
              <w:rPr>
                <w:sz w:val="20"/>
                <w:szCs w:val="20"/>
                <w:color w:val="auto"/>
              </w:rPr>
            </w:pPr>
            <w:r>
              <w:rPr>
                <w:rFonts w:ascii="Arial" w:cs="Arial" w:eastAsia="Arial" w:hAnsi="Arial"/>
                <w:sz w:val="15"/>
                <w:szCs w:val="15"/>
                <w:color w:val="auto"/>
              </w:rPr>
              <w:t>David Urban</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4,315</w:t>
            </w:r>
          </w:p>
        </w:tc>
        <w:tc>
          <w:tcPr>
            <w:tcW w:w="860" w:type="dxa"/>
            <w:vAlign w:val="bottom"/>
          </w:tcPr>
          <w:p>
            <w:pPr>
              <w:jc w:val="right"/>
              <w:spacing w:after="0"/>
              <w:rPr>
                <w:sz w:val="20"/>
                <w:szCs w:val="20"/>
                <w:color w:val="auto"/>
              </w:rPr>
            </w:pPr>
            <w:r>
              <w:rPr>
                <w:rFonts w:ascii="Arial" w:cs="Arial" w:eastAsia="Arial" w:hAnsi="Arial"/>
                <w:sz w:val="15"/>
                <w:szCs w:val="15"/>
                <w:color w:val="auto"/>
              </w:rPr>
              <w:t>75,000</w:t>
            </w:r>
          </w:p>
        </w:tc>
        <w:tc>
          <w:tcPr>
            <w:tcW w:w="140" w:type="dxa"/>
            <w:vAlign w:val="bottom"/>
          </w:tcPr>
          <w:p>
            <w:pPr>
              <w:spacing w:after="0"/>
              <w:rPr>
                <w:sz w:val="16"/>
                <w:szCs w:val="16"/>
                <w:color w:val="auto"/>
              </w:rPr>
            </w:pPr>
          </w:p>
        </w:tc>
        <w:tc>
          <w:tcPr>
            <w:tcW w:w="1040" w:type="dxa"/>
            <w:vAlign w:val="bottom"/>
          </w:tcPr>
          <w:p>
            <w:pPr>
              <w:ind w:left="880"/>
              <w:spacing w:after="0"/>
              <w:rPr>
                <w:sz w:val="20"/>
                <w:szCs w:val="20"/>
                <w:color w:val="auto"/>
              </w:rPr>
            </w:pPr>
            <w:r>
              <w:rPr>
                <w:rFonts w:ascii="Arial" w:cs="Arial" w:eastAsia="Arial" w:hAnsi="Arial"/>
                <w:sz w:val="15"/>
                <w:szCs w:val="15"/>
                <w:color w:val="auto"/>
                <w:w w:val="93"/>
              </w:rPr>
              <w:t>—</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79,315</w:t>
            </w:r>
          </w:p>
        </w:tc>
      </w:tr>
      <w:tr>
        <w:trPr>
          <w:trHeight w:val="86"/>
        </w:trPr>
        <w:tc>
          <w:tcPr>
            <w:tcW w:w="28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9" w:lineRule="exact"/>
        <w:rPr>
          <w:sz w:val="20"/>
          <w:szCs w:val="20"/>
          <w:color w:val="auto"/>
        </w:rPr>
      </w:pPr>
    </w:p>
    <w:p>
      <w:pPr>
        <w:ind w:left="1600" w:hanging="464"/>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amounts reported in this column represent the fees allocable to Fiscal 2018.</w:t>
      </w:r>
    </w:p>
    <w:p>
      <w:pPr>
        <w:spacing w:after="0" w:line="205" w:lineRule="exact"/>
        <w:rPr>
          <w:rFonts w:ascii="Arial" w:cs="Arial" w:eastAsia="Arial" w:hAnsi="Arial"/>
          <w:sz w:val="15"/>
          <w:szCs w:val="15"/>
          <w:color w:val="auto"/>
        </w:rPr>
      </w:pPr>
    </w:p>
    <w:p>
      <w:pPr>
        <w:ind w:left="1600" w:right="160" w:hanging="464"/>
        <w:spacing w:after="0" w:line="293" w:lineRule="auto"/>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amounts reported in this column represents the grant date fair value calculated in accordance with FASB ASC Topic 718 with respect to the grant of restricted stock units. Assumptions used in calculating these amounts are described in Note 17 of the Company's audited financial statements for the fiscal year ended December 31, 2018 included in our Annual Report on Form 10-K for the fiscal year ended December 31, 2018.</w:t>
      </w:r>
    </w:p>
    <w:p>
      <w:pPr>
        <w:spacing w:after="0" w:line="154" w:lineRule="exact"/>
        <w:rPr>
          <w:rFonts w:ascii="Arial" w:cs="Arial" w:eastAsia="Arial" w:hAnsi="Arial"/>
          <w:sz w:val="14"/>
          <w:szCs w:val="14"/>
          <w:color w:val="auto"/>
        </w:rPr>
      </w:pPr>
    </w:p>
    <w:p>
      <w:pPr>
        <w:ind w:left="1600" w:hanging="464"/>
        <w:spacing w:after="0" w:line="262" w:lineRule="auto"/>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 of December 31, 2018, Gen. Abizaid and Messrs. Cruger, Grano, Greifeld, Hutchins, Nixon, Quick, and Sandner each held 4,998 unvested restricted stock units of the Company, and Michael Viola held 4,498 unvested restricted stock units of the Company, while Mr. Urban held no outstanding equity awards. In addition, as of December 31, 2018, Michael Viola held 60,000 stock options of the Company, of which 45,000 were vested and exercisable. For outstanding equity awards held by Mr. Cifu, please see "Outstanding Equity Awards at 2018 Fiscal Year-End" above.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PROPOSAL 4: RATIFICATION OF APPOINTMENT OF INDEPENDENT REGISTERED PUBLIC ACCOUNTING FIRM</w:t>
      </w:r>
    </w:p>
    <w:p>
      <w:pPr>
        <w:spacing w:after="0" w:line="198" w:lineRule="exact"/>
        <w:rPr>
          <w:sz w:val="20"/>
          <w:szCs w:val="20"/>
          <w:color w:val="auto"/>
        </w:rPr>
      </w:pPr>
    </w:p>
    <w:p>
      <w:pPr>
        <w:ind w:firstLine="298"/>
        <w:spacing w:after="0" w:line="259" w:lineRule="auto"/>
        <w:rPr>
          <w:sz w:val="20"/>
          <w:szCs w:val="20"/>
          <w:color w:val="auto"/>
        </w:rPr>
      </w:pPr>
      <w:r>
        <w:rPr>
          <w:rFonts w:ascii="Arial" w:cs="Arial" w:eastAsia="Arial" w:hAnsi="Arial"/>
          <w:sz w:val="15"/>
          <w:szCs w:val="15"/>
          <w:color w:val="auto"/>
        </w:rPr>
        <w:t>Our Audit Committee has appointed PricewaterhouseCoopers LLP as our independent registered public accounting firm for the fiscal year ending December 31, 2019. Stockholder ratification of the appointment of PricewaterhouseCoopers LLP is not required by law. The ratification of the appointment of PricewaterhouseCoopers LLP requires the affirmative vote of a majority in voting power of shares of stock present in person or represented by proxy and entitled to vote thereon at the Annual Meeting. If the stockholders do not ratify the appointment of PricewaterhouseCoopers LLP, the Audit Committee will reconsider the appointment. Even if the stockholders ratify the appointment of PricewaterhouseCoopers LLP, the Audit Committee retains the discretion to appoint a different independent registered public accounting firm at any time if it determines that such a change would be in the best interests of Virtu and its stockholders.</w:t>
      </w:r>
    </w:p>
    <w:p>
      <w:pPr>
        <w:spacing w:after="0" w:line="165" w:lineRule="exact"/>
        <w:rPr>
          <w:sz w:val="20"/>
          <w:szCs w:val="20"/>
          <w:color w:val="auto"/>
        </w:rPr>
      </w:pPr>
    </w:p>
    <w:p>
      <w:pPr>
        <w:ind w:right="20" w:firstLine="298"/>
        <w:spacing w:after="0" w:line="277" w:lineRule="auto"/>
        <w:rPr>
          <w:sz w:val="20"/>
          <w:szCs w:val="20"/>
          <w:color w:val="auto"/>
        </w:rPr>
      </w:pPr>
      <w:r>
        <w:rPr>
          <w:rFonts w:ascii="Arial" w:cs="Arial" w:eastAsia="Arial" w:hAnsi="Arial"/>
          <w:sz w:val="15"/>
          <w:szCs w:val="15"/>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147" w:lineRule="exact"/>
        <w:rPr>
          <w:sz w:val="20"/>
          <w:szCs w:val="20"/>
          <w:color w:val="auto"/>
        </w:rPr>
      </w:pPr>
    </w:p>
    <w:p>
      <w:pPr>
        <w:ind w:right="80" w:firstLine="298"/>
        <w:spacing w:after="0" w:line="282" w:lineRule="auto"/>
        <w:rPr>
          <w:sz w:val="20"/>
          <w:szCs w:val="20"/>
          <w:color w:val="auto"/>
        </w:rPr>
      </w:pPr>
      <w:r>
        <w:rPr>
          <w:rFonts w:ascii="Arial" w:cs="Arial" w:eastAsia="Arial" w:hAnsi="Arial"/>
          <w:sz w:val="15"/>
          <w:szCs w:val="15"/>
          <w:b w:val="1"/>
          <w:bCs w:val="1"/>
          <w:color w:val="auto"/>
        </w:rPr>
        <w:t>The board of directors recommends that you vote FOR the ratification of PricewaterhouseCoopers LLP as our independent auditor for the fiscal year ending December 31, 2019.</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INFORMATION REGARDING INDEPENDENT REGISTERED PUBLIC ACCOUNTING FIRM</w:t>
      </w:r>
    </w:p>
    <w:p>
      <w:pPr>
        <w:spacing w:after="0" w:line="198" w:lineRule="exact"/>
        <w:rPr>
          <w:sz w:val="20"/>
          <w:szCs w:val="20"/>
          <w:color w:val="auto"/>
        </w:rPr>
      </w:pPr>
    </w:p>
    <w:p>
      <w:pPr>
        <w:ind w:right="180" w:firstLine="298"/>
        <w:spacing w:after="0" w:line="277" w:lineRule="auto"/>
        <w:rPr>
          <w:sz w:val="20"/>
          <w:szCs w:val="20"/>
          <w:color w:val="auto"/>
        </w:rPr>
      </w:pPr>
      <w:r>
        <w:rPr>
          <w:rFonts w:ascii="Arial" w:cs="Arial" w:eastAsia="Arial" w:hAnsi="Arial"/>
          <w:sz w:val="15"/>
          <w:szCs w:val="15"/>
          <w:color w:val="auto"/>
        </w:rPr>
        <w:t>PricewaterhouseCoopers LLP has served as the Company's independent registered public accounting firm since 2018. As discussed below under the caption "Change in Accountants", previously, Deloitte &amp; Touche LLP served as the Company's independent registered public accounting firm since 2011.</w:t>
      </w:r>
    </w:p>
    <w:p>
      <w:pPr>
        <w:spacing w:after="0" w:line="151" w:lineRule="exact"/>
        <w:rPr>
          <w:sz w:val="20"/>
          <w:szCs w:val="20"/>
          <w:color w:val="auto"/>
        </w:rPr>
      </w:pPr>
    </w:p>
    <w:p>
      <w:pPr>
        <w:ind w:right="380" w:firstLine="295"/>
        <w:spacing w:after="0" w:line="277" w:lineRule="auto"/>
        <w:rPr>
          <w:sz w:val="20"/>
          <w:szCs w:val="20"/>
          <w:color w:val="auto"/>
        </w:rPr>
      </w:pPr>
      <w:r>
        <w:rPr>
          <w:rFonts w:ascii="Arial" w:cs="Arial" w:eastAsia="Arial" w:hAnsi="Arial"/>
          <w:sz w:val="15"/>
          <w:szCs w:val="15"/>
          <w:color w:val="auto"/>
        </w:rPr>
        <w:t>The Audit Committee has the discretion to appoint a different independent registered public accounting firm at any time during the year if the Audit Committee believes that such a change would be in the best interest of the Company and our stockholders.</w:t>
      </w:r>
    </w:p>
    <w:p>
      <w:pPr>
        <w:spacing w:after="0" w:line="151" w:lineRule="exact"/>
        <w:rPr>
          <w:sz w:val="20"/>
          <w:szCs w:val="20"/>
          <w:color w:val="auto"/>
        </w:rPr>
      </w:pPr>
    </w:p>
    <w:p>
      <w:pPr>
        <w:ind w:right="480" w:firstLine="289"/>
        <w:spacing w:after="0" w:line="277" w:lineRule="auto"/>
        <w:rPr>
          <w:sz w:val="20"/>
          <w:szCs w:val="20"/>
          <w:color w:val="auto"/>
        </w:rPr>
      </w:pPr>
      <w:r>
        <w:rPr>
          <w:rFonts w:ascii="Arial" w:cs="Arial" w:eastAsia="Arial" w:hAnsi="Arial"/>
          <w:sz w:val="15"/>
          <w:szCs w:val="15"/>
          <w:color w:val="auto"/>
        </w:rPr>
        <w:t>A representative of PricewaterhouseCoopers LLP is expected to be present at the Annual Meeting, will have an opportunity to make a statement if he or she so desires and will be available to respond to appropriate questions.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 in Accountants</w:t>
      </w:r>
    </w:p>
    <w:p>
      <w:pPr>
        <w:spacing w:after="0" w:line="198" w:lineRule="exact"/>
        <w:rPr>
          <w:sz w:val="20"/>
          <w:szCs w:val="20"/>
          <w:color w:val="auto"/>
        </w:rPr>
      </w:pPr>
    </w:p>
    <w:p>
      <w:pPr>
        <w:ind w:right="60" w:firstLine="295"/>
        <w:spacing w:after="0" w:line="265" w:lineRule="auto"/>
        <w:rPr>
          <w:sz w:val="20"/>
          <w:szCs w:val="20"/>
          <w:color w:val="auto"/>
        </w:rPr>
      </w:pPr>
      <w:r>
        <w:rPr>
          <w:rFonts w:ascii="Arial" w:cs="Arial" w:eastAsia="Arial" w:hAnsi="Arial"/>
          <w:sz w:val="15"/>
          <w:szCs w:val="15"/>
          <w:color w:val="auto"/>
        </w:rPr>
        <w:t>The Audit Committee conducted a competitive process to determine the Company's independent registered public accounting firm for the fiscal year ending December 31, 2018. The Audit Committee invited several firms to participate in this process, including Deloitte &amp; Touche LLP, which firm audited the Company's financial statements for each fiscal year since 2011, up to and including the fiscal year ending December 31, 2017.</w:t>
      </w:r>
    </w:p>
    <w:p>
      <w:pPr>
        <w:spacing w:after="0" w:line="161" w:lineRule="exact"/>
        <w:rPr>
          <w:sz w:val="20"/>
          <w:szCs w:val="20"/>
          <w:color w:val="auto"/>
        </w:rPr>
      </w:pPr>
    </w:p>
    <w:p>
      <w:pPr>
        <w:ind w:right="60" w:firstLine="298"/>
        <w:spacing w:after="0" w:line="277" w:lineRule="auto"/>
        <w:rPr>
          <w:sz w:val="20"/>
          <w:szCs w:val="20"/>
          <w:color w:val="auto"/>
        </w:rPr>
      </w:pPr>
      <w:r>
        <w:rPr>
          <w:rFonts w:ascii="Arial" w:cs="Arial" w:eastAsia="Arial" w:hAnsi="Arial"/>
          <w:sz w:val="15"/>
          <w:szCs w:val="15"/>
          <w:color w:val="auto"/>
        </w:rPr>
        <w:t>On June 4, 2018, the Audit Committee appointed PricewaterhouseCoopers LLP as the Company's independent registered public accounting firm for the fiscal year ending December 31, 2018. On June 4, 2018, the Company dismissed Deloitte &amp; Touche LLP as the Company's independent registered public accounting firm.</w:t>
      </w:r>
    </w:p>
    <w:p>
      <w:pPr>
        <w:spacing w:after="0" w:line="151" w:lineRule="exact"/>
        <w:rPr>
          <w:sz w:val="20"/>
          <w:szCs w:val="20"/>
          <w:color w:val="auto"/>
        </w:rPr>
      </w:pPr>
    </w:p>
    <w:p>
      <w:pPr>
        <w:ind w:firstLine="295"/>
        <w:spacing w:after="0" w:line="279" w:lineRule="auto"/>
        <w:rPr>
          <w:sz w:val="20"/>
          <w:szCs w:val="20"/>
          <w:color w:val="auto"/>
        </w:rPr>
      </w:pPr>
      <w:r>
        <w:rPr>
          <w:rFonts w:ascii="Arial" w:cs="Arial" w:eastAsia="Arial" w:hAnsi="Arial"/>
          <w:sz w:val="14"/>
          <w:szCs w:val="14"/>
          <w:color w:val="auto"/>
        </w:rPr>
        <w:t>The reports of Deloitte &amp; Touche LLP on the Company's financial statements for each of the two fiscal years ending December 31, 2017 and 2016 did not contain an adverse opinion or a disclaimer of opinion, nor were the reports on the Company's financial statements qualified or modified as to uncertainty, audit scope or accounting principles. In the fiscal years ending December 31, 2017 and 2016 and in the subsequent interim period through June 4, 2018, there were no "disagreements" (as that term is described in Item 304(a)(1)(iv) of Regulation S-K) between the Company and Deloitte &amp; Touche LLP on any matter of accounting principles or practices, financial statement disclosure, or auditing scope or procedures, which disagreements, if not resolved to the satisfaction of Deloitte &amp; Touche LLP, would have caused Deloitte &amp; Touche LLP to make reference to the subject matter of such disagreements in connection with its report on the Company's financial statements for such years. In the fiscal years ending December 31, 2017 and 2016, and in the subsequent interim period through June 4, 2018, there were no "reportable events" (as that term is defined in Item 304(a)(1)(v) of Regulation S-K).</w:t>
      </w:r>
    </w:p>
    <w:p>
      <w:pPr>
        <w:spacing w:after="0" w:line="155" w:lineRule="exact"/>
        <w:rPr>
          <w:sz w:val="20"/>
          <w:szCs w:val="20"/>
          <w:color w:val="auto"/>
        </w:rPr>
      </w:pPr>
    </w:p>
    <w:p>
      <w:pPr>
        <w:ind w:right="40" w:firstLine="298"/>
        <w:spacing w:after="0" w:line="260" w:lineRule="auto"/>
        <w:rPr>
          <w:sz w:val="20"/>
          <w:szCs w:val="20"/>
          <w:color w:val="auto"/>
        </w:rPr>
      </w:pPr>
      <w:r>
        <w:rPr>
          <w:rFonts w:ascii="Arial" w:cs="Arial" w:eastAsia="Arial" w:hAnsi="Arial"/>
          <w:sz w:val="15"/>
          <w:szCs w:val="15"/>
          <w:color w:val="auto"/>
        </w:rPr>
        <w:t>During the fiscal years ending December 31, 2017 and 2016 and the subsequent period through June 4, 2018, neither the Company or anyone on its behalf consulted with PricewaterhouseCoopers LLP with respect to (a) the application of accounting principles to a specified transaction, either completed or proposed, or the type of audit opinion that might be rendered on the Company's consolidated financial statements, and neither a written report nor oral advice was provided to the Company that PricewaterhouseCoopers LLP concluded was an important factor considered by the Company in reaching a decision as to any accounting, auditing or financial reporting issue, or (b) any matter that was either the subject of a "disagreement" or a "reportable event" (as such terms are defined in Item 304(a)(1) of Regulation S-K).</w:t>
      </w:r>
    </w:p>
    <w:p>
      <w:pPr>
        <w:spacing w:after="0" w:line="164" w:lineRule="exact"/>
        <w:rPr>
          <w:sz w:val="20"/>
          <w:szCs w:val="20"/>
          <w:color w:val="auto"/>
        </w:rPr>
      </w:pPr>
    </w:p>
    <w:p>
      <w:pPr>
        <w:ind w:right="540" w:firstLine="295"/>
        <w:spacing w:after="0" w:line="277" w:lineRule="auto"/>
        <w:rPr>
          <w:sz w:val="20"/>
          <w:szCs w:val="20"/>
          <w:color w:val="auto"/>
        </w:rPr>
      </w:pPr>
      <w:r>
        <w:rPr>
          <w:rFonts w:ascii="Arial" w:cs="Arial" w:eastAsia="Arial" w:hAnsi="Arial"/>
          <w:sz w:val="15"/>
          <w:szCs w:val="15"/>
          <w:color w:val="auto"/>
        </w:rPr>
        <w:t>The Company provided Deloitte &amp; Touche LLP and PricewaterhouseCoopers LLP with a copy of the disclosures contained in this "Change in Accountants" section of the proxy statement.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Pre-Approval Policy</w:t>
      </w:r>
    </w:p>
    <w:p>
      <w:pPr>
        <w:spacing w:after="0" w:line="198" w:lineRule="exact"/>
        <w:rPr>
          <w:sz w:val="20"/>
          <w:szCs w:val="20"/>
          <w:color w:val="auto"/>
        </w:rPr>
      </w:pPr>
    </w:p>
    <w:p>
      <w:pPr>
        <w:ind w:right="480" w:firstLine="295"/>
        <w:spacing w:after="0" w:line="277" w:lineRule="auto"/>
        <w:rPr>
          <w:sz w:val="20"/>
          <w:szCs w:val="20"/>
          <w:color w:val="auto"/>
        </w:rPr>
      </w:pPr>
      <w:r>
        <w:rPr>
          <w:rFonts w:ascii="Arial" w:cs="Arial" w:eastAsia="Arial" w:hAnsi="Arial"/>
          <w:sz w:val="15"/>
          <w:szCs w:val="15"/>
          <w:color w:val="auto"/>
        </w:rPr>
        <w:t>The policy of our Audit Committee is to review in advance, and pre-approve all audit or non-audit services to be provided by the Company's independent or other registered public accounting firm and to approve all related fees and other terms of engagement.</w:t>
      </w:r>
    </w:p>
    <w:p>
      <w:pPr>
        <w:spacing w:after="0" w:line="151" w:lineRule="exact"/>
        <w:rPr>
          <w:sz w:val="20"/>
          <w:szCs w:val="20"/>
          <w:color w:val="auto"/>
        </w:rPr>
      </w:pPr>
    </w:p>
    <w:p>
      <w:pPr>
        <w:ind w:right="100" w:firstLine="289"/>
        <w:spacing w:after="0" w:line="260" w:lineRule="auto"/>
        <w:rPr>
          <w:sz w:val="20"/>
          <w:szCs w:val="20"/>
          <w:color w:val="auto"/>
        </w:rPr>
      </w:pPr>
      <w:r>
        <w:rPr>
          <w:rFonts w:ascii="Arial" w:cs="Arial" w:eastAsia="Arial" w:hAnsi="Arial"/>
          <w:sz w:val="15"/>
          <w:szCs w:val="15"/>
          <w:color w:val="auto"/>
        </w:rPr>
        <w:t>All of the audit-related, tax and all other services provided by PricewaterhouseCoopers LLP to us since their appointment in 2018, and by Deloitte &amp; Touche LLP to us subsequent to our initial public offering in 2016 and until their dismissal in 2018, were approved by our Audit Committee, and none of such services were approved pursuant to the exception provided by Rule 2-01(c)(7)(i)(C) under Regulation S-X. All non-audit services provided subsequent to our initial public offering in 2016 were reviewed with the Audit Committee, which in each case concluded that the provision of such services by the relevant independent registered public accounting firm was compatible with the maintenance of that firm's independence in the conduct of its auditing functions.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Fees</w:t>
      </w:r>
    </w:p>
    <w:p>
      <w:pPr>
        <w:spacing w:after="0" w:line="198" w:lineRule="exact"/>
        <w:rPr>
          <w:sz w:val="20"/>
          <w:szCs w:val="20"/>
          <w:color w:val="auto"/>
        </w:rPr>
      </w:pPr>
    </w:p>
    <w:p>
      <w:pPr>
        <w:ind w:right="260" w:firstLine="295"/>
        <w:spacing w:after="0" w:line="314" w:lineRule="auto"/>
        <w:rPr>
          <w:sz w:val="20"/>
          <w:szCs w:val="20"/>
          <w:color w:val="auto"/>
        </w:rPr>
      </w:pPr>
      <w:r>
        <w:rPr>
          <w:rFonts w:ascii="Arial" w:cs="Arial" w:eastAsia="Arial" w:hAnsi="Arial"/>
          <w:sz w:val="14"/>
          <w:szCs w:val="14"/>
          <w:color w:val="auto"/>
        </w:rPr>
        <w:t>The following table presents aggregate fees billed to us for services rendered by our current independent registered public accounting firm, PricewaterhouseCoopers LLP, for the fiscal year ended December 31, 2018 and by our former independent registered public accounting firm, Deloitte &amp; Touche LLP, for the fiscal year ended December 31, 2017.</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37"/>
        </w:trPr>
        <w:tc>
          <w:tcPr>
            <w:tcW w:w="21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1"/>
                <w:szCs w:val="11"/>
                <w:b w:val="1"/>
                <w:bCs w:val="1"/>
                <w:color w:val="auto"/>
              </w:rPr>
              <w:t>2018(1)</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1"/>
                <w:szCs w:val="11"/>
                <w:b w:val="1"/>
                <w:bCs w:val="1"/>
                <w:color w:val="auto"/>
              </w:rPr>
              <w:t>2017(2)</w:t>
            </w:r>
          </w:p>
        </w:tc>
        <w:tc>
          <w:tcPr>
            <w:tcW w:w="140" w:type="dxa"/>
            <w:vAlign w:val="bottom"/>
          </w:tcPr>
          <w:p>
            <w:pPr>
              <w:spacing w:after="0"/>
              <w:rPr>
                <w:sz w:val="11"/>
                <w:szCs w:val="11"/>
                <w:color w:val="auto"/>
              </w:rPr>
            </w:pPr>
          </w:p>
        </w:tc>
      </w:tr>
      <w:tr>
        <w:trPr>
          <w:trHeight w:val="175"/>
        </w:trPr>
        <w:tc>
          <w:tcPr>
            <w:tcW w:w="6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3,086,096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2,844,139</w:t>
            </w:r>
          </w:p>
        </w:tc>
      </w:tr>
      <w:tr>
        <w:trPr>
          <w:trHeight w:val="183"/>
        </w:trPr>
        <w:tc>
          <w:tcPr>
            <w:tcW w:w="6180" w:type="dxa"/>
            <w:vAlign w:val="bottom"/>
            <w:gridSpan w:val="2"/>
          </w:tcPr>
          <w:p>
            <w:pPr>
              <w:spacing w:after="0"/>
              <w:rPr>
                <w:sz w:val="20"/>
                <w:szCs w:val="20"/>
                <w:color w:val="auto"/>
              </w:rPr>
            </w:pPr>
            <w:r>
              <w:rPr>
                <w:rFonts w:ascii="Arial" w:cs="Arial" w:eastAsia="Arial" w:hAnsi="Arial"/>
                <w:sz w:val="15"/>
                <w:szCs w:val="15"/>
                <w:color w:val="auto"/>
              </w:rPr>
              <w:t>Audit-related fees</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175,000</w:t>
            </w:r>
          </w:p>
        </w:tc>
      </w:tr>
      <w:tr>
        <w:trPr>
          <w:trHeight w:val="183"/>
        </w:trPr>
        <w:tc>
          <w:tcPr>
            <w:tcW w:w="6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Tax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435,163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14,404</w:t>
            </w:r>
          </w:p>
        </w:tc>
      </w:tr>
      <w:tr>
        <w:trPr>
          <w:trHeight w:val="183"/>
        </w:trPr>
        <w:tc>
          <w:tcPr>
            <w:tcW w:w="6180" w:type="dxa"/>
            <w:vAlign w:val="bottom"/>
            <w:gridSpan w:val="2"/>
          </w:tcPr>
          <w:p>
            <w:pPr>
              <w:spacing w:after="0"/>
              <w:rPr>
                <w:sz w:val="20"/>
                <w:szCs w:val="20"/>
                <w:color w:val="auto"/>
              </w:rPr>
            </w:pPr>
            <w:r>
              <w:rPr>
                <w:rFonts w:ascii="Arial" w:cs="Arial" w:eastAsia="Arial" w:hAnsi="Arial"/>
                <w:sz w:val="15"/>
                <w:szCs w:val="15"/>
                <w:color w:val="auto"/>
              </w:rPr>
              <w:t>All other fees</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6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3,521,259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3,033,542</w:t>
            </w:r>
          </w:p>
        </w:tc>
      </w:tr>
      <w:tr>
        <w:trPr>
          <w:trHeight w:val="92"/>
        </w:trPr>
        <w:tc>
          <w:tcPr>
            <w:tcW w:w="212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7" w:lineRule="exact"/>
        <w:rPr>
          <w:sz w:val="20"/>
          <w:szCs w:val="20"/>
          <w:color w:val="auto"/>
        </w:rPr>
      </w:pPr>
    </w:p>
    <w:p>
      <w:pPr>
        <w:ind w:left="2160" w:hanging="452"/>
        <w:spacing w:after="0"/>
        <w:tabs>
          <w:tab w:leader="none" w:pos="21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Services provided by PricewaterhouseCoopers LLP.</w:t>
      </w:r>
    </w:p>
    <w:p>
      <w:pPr>
        <w:spacing w:after="0" w:line="216" w:lineRule="exact"/>
        <w:rPr>
          <w:rFonts w:ascii="Arial" w:cs="Arial" w:eastAsia="Arial" w:hAnsi="Arial"/>
          <w:sz w:val="15"/>
          <w:szCs w:val="15"/>
          <w:color w:val="auto"/>
        </w:rPr>
      </w:pPr>
    </w:p>
    <w:p>
      <w:pPr>
        <w:ind w:left="2160" w:hanging="452"/>
        <w:spacing w:after="0"/>
        <w:tabs>
          <w:tab w:leader="none" w:pos="21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Services provided by Deloitte &amp; Touche LLP.</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Fees</w:t>
      </w:r>
    </w:p>
    <w:p>
      <w:pPr>
        <w:spacing w:after="0" w:line="198" w:lineRule="exact"/>
        <w:rPr>
          <w:sz w:val="20"/>
          <w:szCs w:val="20"/>
          <w:color w:val="auto"/>
        </w:rPr>
      </w:pPr>
    </w:p>
    <w:p>
      <w:pPr>
        <w:ind w:right="60" w:firstLine="295"/>
        <w:spacing w:after="0" w:line="265" w:lineRule="auto"/>
        <w:rPr>
          <w:sz w:val="20"/>
          <w:szCs w:val="20"/>
          <w:color w:val="auto"/>
        </w:rPr>
      </w:pPr>
      <w:r>
        <w:rPr>
          <w:rFonts w:ascii="Arial" w:cs="Arial" w:eastAsia="Arial" w:hAnsi="Arial"/>
          <w:sz w:val="15"/>
          <w:szCs w:val="15"/>
          <w:color w:val="auto"/>
        </w:rPr>
        <w:t>This category includes the aggregate fees during 2018 and 2017 for audit services provided by our independent registered public accounting firm for the fiscal years ending December 31, 2018 and December 31, 2017, including for the audits of our annual consolidated financial statements, and reviews of each of the quarterly financial statements included in our Quarterly Reports on Form 10-Q.</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Audit-Related Fees</w:t>
      </w:r>
    </w:p>
    <w:p>
      <w:pPr>
        <w:spacing w:after="0" w:line="198"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This category includes the aggregate fees during 2018 and 2017 for services related to the performance of the audits and reviews described in the preceding paragraph that are not included in the Audit Fees category, including fees associated with (i) accounting consultation and due diligence related to certain transactions, (ii) services rendered in connection with our registration statements and (iii) the preparation and review of documents related to our securities offerings.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Fees</w:t>
      </w:r>
    </w:p>
    <w:p>
      <w:pPr>
        <w:spacing w:after="0" w:line="198" w:lineRule="exact"/>
        <w:rPr>
          <w:sz w:val="20"/>
          <w:szCs w:val="20"/>
          <w:color w:val="auto"/>
        </w:rPr>
      </w:pPr>
    </w:p>
    <w:p>
      <w:pPr>
        <w:ind w:right="140" w:firstLine="295"/>
        <w:spacing w:after="0" w:line="277" w:lineRule="auto"/>
        <w:rPr>
          <w:sz w:val="20"/>
          <w:szCs w:val="20"/>
          <w:color w:val="auto"/>
        </w:rPr>
      </w:pPr>
      <w:r>
        <w:rPr>
          <w:rFonts w:ascii="Arial" w:cs="Arial" w:eastAsia="Arial" w:hAnsi="Arial"/>
          <w:sz w:val="15"/>
          <w:szCs w:val="15"/>
          <w:color w:val="auto"/>
        </w:rPr>
        <w:t>This category includes the aggregate fees during 2018 and 2017 for professional tax services provided by the independent registered public accounting firm or its affiliates, including for tax compliance and tax advice.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 Other Fees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There were no other fees during 2018 and 2017.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AUDIT COMMITTEE REPORT</w:t>
      </w:r>
    </w:p>
    <w:p>
      <w:pPr>
        <w:spacing w:after="0" w:line="198" w:lineRule="exact"/>
        <w:rPr>
          <w:sz w:val="20"/>
          <w:szCs w:val="20"/>
          <w:color w:val="auto"/>
        </w:rPr>
      </w:pPr>
    </w:p>
    <w:p>
      <w:pPr>
        <w:jc w:val="both"/>
        <w:ind w:right="160" w:firstLine="298"/>
        <w:spacing w:after="0" w:line="293" w:lineRule="auto"/>
        <w:rPr>
          <w:sz w:val="20"/>
          <w:szCs w:val="20"/>
          <w:color w:val="auto"/>
        </w:rPr>
      </w:pPr>
      <w:r>
        <w:rPr>
          <w:rFonts w:ascii="Arial" w:cs="Arial" w:eastAsia="Arial" w:hAnsi="Arial"/>
          <w:sz w:val="14"/>
          <w:szCs w:val="14"/>
          <w:i w:val="1"/>
          <w:iCs w:val="1"/>
          <w:color w:val="auto"/>
        </w:rPr>
        <w:t>The following is the report of the Audit Committee of Virtu Financial, Inc. (the "Company") with respect to our audited financial statements for the year ended December 31, 2018. The information contained in this report shall not be deemed "soliciting material" or otherwise considered "filed" with the SEC, and such information shall not be incorporated by reference into any future filing under the Exchange Act, except to the extent that we specifically incorporate such information by reference in such filing.</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Audit Committee hereby reports as follows:</w:t>
      </w:r>
    </w:p>
    <w:p>
      <w:pPr>
        <w:spacing w:after="0" w:line="194" w:lineRule="exact"/>
        <w:rPr>
          <w:sz w:val="20"/>
          <w:szCs w:val="20"/>
          <w:color w:val="auto"/>
        </w:rPr>
      </w:pPr>
    </w:p>
    <w:p>
      <w:pPr>
        <w:ind w:left="440" w:firstLine="307"/>
        <w:spacing w:after="0" w:line="277" w:lineRule="auto"/>
        <w:tabs>
          <w:tab w:leader="none" w:pos="1035"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Management has the primary responsibility for the financial statements and the reporting process, including the system of internal accounting controls. The Audit Committee, in its oversight role, has reviewed and discussed the audited financial statements with the Company's management.</w:t>
      </w:r>
    </w:p>
    <w:p>
      <w:pPr>
        <w:spacing w:after="0" w:line="151" w:lineRule="exact"/>
        <w:rPr>
          <w:rFonts w:ascii="Arial" w:cs="Arial" w:eastAsia="Arial" w:hAnsi="Arial"/>
          <w:sz w:val="15"/>
          <w:szCs w:val="15"/>
          <w:color w:val="auto"/>
        </w:rPr>
      </w:pPr>
    </w:p>
    <w:p>
      <w:pPr>
        <w:ind w:left="440" w:right="100" w:firstLine="307"/>
        <w:spacing w:after="0" w:line="262" w:lineRule="auto"/>
        <w:tabs>
          <w:tab w:leader="none" w:pos="1032"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Audit Committee has discussed with the Company's independent registered public accounting firm the overall scope of, and plans for, their audit. The Audit Committee has met with the independent registered public accounting firm to discuss the matters required to be discussed by the Statement on Auditing Standards No. 61, as amended (AICPA, Professional Standards, Vol. 1, AU Section 380), as adopted by the Public Company Accounting Oversight Board (United States) (the "PCAOB") in Rule 3200T regarding "Communication with Audit Committees", as may be modified or supplemented.</w:t>
      </w:r>
    </w:p>
    <w:p>
      <w:pPr>
        <w:spacing w:after="0" w:line="162" w:lineRule="exact"/>
        <w:rPr>
          <w:rFonts w:ascii="Arial" w:cs="Arial" w:eastAsia="Arial" w:hAnsi="Arial"/>
          <w:sz w:val="15"/>
          <w:szCs w:val="15"/>
          <w:color w:val="auto"/>
        </w:rPr>
      </w:pPr>
    </w:p>
    <w:p>
      <w:pPr>
        <w:ind w:left="440" w:right="240" w:firstLine="307"/>
        <w:spacing w:after="0" w:line="262" w:lineRule="auto"/>
        <w:tabs>
          <w:tab w:leader="none" w:pos="1032"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Audit Committee has received the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The Audit Committee has concluded that PricewaterhouseCoopers LLP's provision of audit and non-audit services to the Company and its affiliates is compatible with PricewaterhouseCoopers LLP's independence.</w:t>
      </w:r>
    </w:p>
    <w:p>
      <w:pPr>
        <w:spacing w:after="0" w:line="162" w:lineRule="exact"/>
        <w:rPr>
          <w:rFonts w:ascii="Arial" w:cs="Arial" w:eastAsia="Arial" w:hAnsi="Arial"/>
          <w:sz w:val="15"/>
          <w:szCs w:val="15"/>
          <w:color w:val="auto"/>
        </w:rPr>
      </w:pPr>
    </w:p>
    <w:p>
      <w:pPr>
        <w:ind w:left="440" w:right="540" w:firstLine="307"/>
        <w:spacing w:after="0" w:line="277" w:lineRule="auto"/>
        <w:tabs>
          <w:tab w:leader="none" w:pos="1032"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Audit Committee has an established charter outlining the practices it follows. The charter is available on the Company's website at: http://ir.virtu.com/corporate-governance/default.aspx.</w:t>
      </w:r>
    </w:p>
    <w:p>
      <w:pPr>
        <w:spacing w:after="0" w:line="151" w:lineRule="exact"/>
        <w:rPr>
          <w:rFonts w:ascii="Arial" w:cs="Arial" w:eastAsia="Arial" w:hAnsi="Arial"/>
          <w:sz w:val="15"/>
          <w:szCs w:val="15"/>
          <w:color w:val="auto"/>
        </w:rPr>
      </w:pPr>
    </w:p>
    <w:p>
      <w:pPr>
        <w:ind w:left="440" w:right="100" w:firstLine="307"/>
        <w:spacing w:after="0" w:line="265" w:lineRule="auto"/>
        <w:tabs>
          <w:tab w:leader="none" w:pos="1035"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the review and discussions referred to in paragraphs (1) through (4) above, the Audit Committee recommended to the Company's board of directors, and the board has approved, that the audited financial statements be included in the Company's Annual Report on Form 10-K for the fiscal year ended December 31, 2018, for filing with the Securities and Exchange Commission.</w:t>
      </w:r>
    </w:p>
    <w:p>
      <w:pPr>
        <w:spacing w:after="0" w:line="161" w:lineRule="exact"/>
        <w:rPr>
          <w:sz w:val="20"/>
          <w:szCs w:val="20"/>
          <w:color w:val="auto"/>
        </w:rPr>
      </w:pPr>
    </w:p>
    <w:p>
      <w:pPr>
        <w:ind w:left="5940"/>
        <w:spacing w:after="0"/>
        <w:rPr>
          <w:sz w:val="20"/>
          <w:szCs w:val="20"/>
          <w:color w:val="auto"/>
        </w:rPr>
      </w:pPr>
      <w:r>
        <w:rPr>
          <w:rFonts w:ascii="Arial" w:cs="Arial" w:eastAsia="Arial" w:hAnsi="Arial"/>
          <w:sz w:val="15"/>
          <w:szCs w:val="15"/>
          <w:b w:val="1"/>
          <w:bCs w:val="1"/>
          <w:i w:val="1"/>
          <w:iCs w:val="1"/>
          <w:color w:val="auto"/>
        </w:rPr>
        <w:t>AUDIT COMMITTEE</w:t>
      </w:r>
    </w:p>
    <w:p>
      <w:pPr>
        <w:spacing w:after="0" w:line="217" w:lineRule="exact"/>
        <w:rPr>
          <w:sz w:val="20"/>
          <w:szCs w:val="20"/>
          <w:color w:val="auto"/>
        </w:rPr>
      </w:pPr>
    </w:p>
    <w:p>
      <w:pPr>
        <w:ind w:left="5940"/>
        <w:spacing w:after="0"/>
        <w:rPr>
          <w:sz w:val="20"/>
          <w:szCs w:val="20"/>
          <w:color w:val="auto"/>
        </w:rPr>
      </w:pPr>
      <w:r>
        <w:rPr>
          <w:rFonts w:ascii="Arial" w:cs="Arial" w:eastAsia="Arial" w:hAnsi="Arial"/>
          <w:sz w:val="15"/>
          <w:szCs w:val="15"/>
          <w:i w:val="1"/>
          <w:iCs w:val="1"/>
          <w:color w:val="auto"/>
        </w:rPr>
        <w:t>William F. Cruger, Jr.</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5"/>
          <w:szCs w:val="15"/>
          <w:i w:val="1"/>
          <w:iCs w:val="1"/>
          <w:color w:val="auto"/>
        </w:rPr>
        <w:t>John F. (Jack) Sandner</w:t>
      </w:r>
    </w:p>
    <w:p>
      <w:pPr>
        <w:spacing w:after="0" w:line="11" w:lineRule="exact"/>
        <w:rPr>
          <w:sz w:val="20"/>
          <w:szCs w:val="20"/>
          <w:color w:val="auto"/>
        </w:rPr>
      </w:pPr>
    </w:p>
    <w:p>
      <w:pPr>
        <w:ind w:left="5940"/>
        <w:spacing w:after="0"/>
        <w:rPr>
          <w:sz w:val="20"/>
          <w:szCs w:val="20"/>
          <w:color w:val="auto"/>
        </w:rPr>
      </w:pPr>
      <w:r>
        <w:rPr>
          <w:rFonts w:ascii="Arial" w:cs="Arial" w:eastAsia="Arial" w:hAnsi="Arial"/>
          <w:sz w:val="15"/>
          <w:szCs w:val="15"/>
          <w:i w:val="1"/>
          <w:iCs w:val="1"/>
          <w:color w:val="auto"/>
        </w:rPr>
        <w:t>Christopher C. Quick</w:t>
      </w:r>
    </w:p>
    <w:p>
      <w:pPr>
        <w:spacing w:after="0" w:line="11" w:lineRule="exact"/>
        <w:rPr>
          <w:sz w:val="20"/>
          <w:szCs w:val="20"/>
          <w:color w:val="auto"/>
        </w:rPr>
      </w:pPr>
    </w:p>
    <w:p>
      <w:pPr>
        <w:ind w:left="5940"/>
        <w:spacing w:after="0"/>
        <w:rPr>
          <w:sz w:val="20"/>
          <w:szCs w:val="20"/>
          <w:color w:val="auto"/>
        </w:rPr>
      </w:pPr>
      <w:r>
        <w:rPr>
          <w:rFonts w:ascii="Arial" w:cs="Arial" w:eastAsia="Arial" w:hAnsi="Arial"/>
          <w:sz w:val="15"/>
          <w:szCs w:val="15"/>
          <w:i w:val="1"/>
          <w:iCs w:val="1"/>
          <w:color w:val="auto"/>
        </w:rPr>
        <w:t>Joseph J. Grano, Jr.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OWNERSHIP OF CERTAIN BENEFICIAL OWNERS AND MANAGEMENT</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tables below set forth information with respect to the beneficial ownership of our Class A common stock and Class B common stock by:</w:t>
      </w:r>
    </w:p>
    <w:p>
      <w:pPr>
        <w:spacing w:after="0" w:line="205" w:lineRule="exact"/>
        <w:rPr>
          <w:sz w:val="20"/>
          <w:szCs w:val="20"/>
          <w:color w:val="auto"/>
        </w:rPr>
      </w:pPr>
    </w:p>
    <w:p>
      <w:pPr>
        <w:ind w:left="900" w:hanging="451"/>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each of our directors and executive officers;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each person who is known to be the beneficial owner of more than 5% of the outstanding shares of our Class A common stock and Class B common stock; and</w:t>
      </w:r>
    </w:p>
    <w:p>
      <w:pPr>
        <w:spacing w:after="0" w:line="216" w:lineRule="exact"/>
        <w:rPr>
          <w:rFonts w:ascii="Arial" w:cs="Arial" w:eastAsia="Arial" w:hAnsi="Arial"/>
          <w:sz w:val="14"/>
          <w:szCs w:val="14"/>
          <w:color w:val="auto"/>
        </w:rPr>
      </w:pPr>
    </w:p>
    <w:p>
      <w:pPr>
        <w:ind w:left="900" w:hanging="451"/>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 of our directors and executive officers as a group.</w:t>
      </w:r>
    </w:p>
    <w:p>
      <w:pPr>
        <w:spacing w:after="0" w:line="194" w:lineRule="exact"/>
        <w:rPr>
          <w:sz w:val="20"/>
          <w:szCs w:val="20"/>
          <w:color w:val="auto"/>
        </w:rPr>
      </w:pPr>
    </w:p>
    <w:p>
      <w:pPr>
        <w:ind w:right="420" w:firstLine="295"/>
        <w:spacing w:after="0" w:line="314" w:lineRule="auto"/>
        <w:rPr>
          <w:sz w:val="20"/>
          <w:szCs w:val="20"/>
          <w:color w:val="auto"/>
        </w:rPr>
      </w:pPr>
      <w:r>
        <w:rPr>
          <w:rFonts w:ascii="Arial" w:cs="Arial" w:eastAsia="Arial" w:hAnsi="Arial"/>
          <w:sz w:val="14"/>
          <w:szCs w:val="14"/>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128" w:lineRule="exact"/>
        <w:rPr>
          <w:sz w:val="20"/>
          <w:szCs w:val="20"/>
          <w:color w:val="auto"/>
        </w:rPr>
      </w:pPr>
    </w:p>
    <w:p>
      <w:pPr>
        <w:ind w:right="60" w:firstLine="298"/>
        <w:spacing w:after="0" w:line="278" w:lineRule="auto"/>
        <w:rPr>
          <w:sz w:val="20"/>
          <w:szCs w:val="20"/>
          <w:color w:val="auto"/>
        </w:rPr>
      </w:pPr>
      <w:r>
        <w:rPr>
          <w:rFonts w:ascii="Arial" w:cs="Arial" w:eastAsia="Arial" w:hAnsi="Arial"/>
          <w:sz w:val="14"/>
          <w:szCs w:val="14"/>
          <w:color w:val="auto"/>
        </w:rPr>
        <w:t>Prior to our initial public offering, our business was conducted through Virtu Financial and its subsidiaries. In a series of transactions that occurred in connection with our initial public offering, (i) we became the sole managing member of Virtu Financial and acquired non-voting common interest units of Virtu Financial Units, (ii) certain direct or indirect equityholders of Virtu Financial acquired shares of our Class A common stock and (iii) certain direct or indirect equityholders of Virtu Financial had their interests reclassified into Virtu Financial Units and acquired shares of our Class C common stock or, in the case of the Founder Member only, shares of our Class D common stock (collectively, the "Virtu Members"). Subject to certain restrictions, each Virtu Member, other than the Founder Member, has the right at any time to exchange any vested Virtu Financial Units (together with a corresponding number of shares of Class C common stock) for shares of Class A common stock on a one-for-one basis. Subject to certain restrictions, the Founder Member has the right at any time to exchange any Virtu Financial Units (together with a corresponding number of shares of Class D common stock) for shares of Class B common stock on a one-for-one basis. Shares of Class B common stock may be converted into shares of Class A common stock on a one-for-one basis.</w:t>
      </w:r>
    </w:p>
    <w:p>
      <w:pPr>
        <w:spacing w:after="0" w:line="156" w:lineRule="exact"/>
        <w:rPr>
          <w:sz w:val="20"/>
          <w:szCs w:val="20"/>
          <w:color w:val="auto"/>
        </w:rPr>
      </w:pPr>
    </w:p>
    <w:p>
      <w:pPr>
        <w:ind w:firstLine="295"/>
        <w:spacing w:after="0" w:line="278" w:lineRule="auto"/>
        <w:rPr>
          <w:sz w:val="20"/>
          <w:szCs w:val="20"/>
          <w:color w:val="auto"/>
        </w:rPr>
      </w:pPr>
      <w:r>
        <w:rPr>
          <w:rFonts w:ascii="Arial" w:cs="Arial" w:eastAsia="Arial" w:hAnsi="Arial"/>
          <w:sz w:val="14"/>
          <w:szCs w:val="14"/>
          <w:color w:val="auto"/>
        </w:rPr>
        <w:t>The numbers of shares of Class A common stock beneficially owned and percentages of beneficial ownership set forth in the table below assume that (i) all Virtu Financial Units (together with the corresponding shares of Class C common stock) that have vested or will vest within 60 days have been exchanged for shares of Class A common stock, (ii) all Virtu Financial Units (together with the corresponding shares of Class D common stock) have been exchanged for shares of Class B common stock and (iii) all shares of Class B common stock have been converted into shares of Class A common stock. Subject to the assumptions in the preceding sentence, the amounts 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156" w:lineRule="exact"/>
        <w:rPr>
          <w:sz w:val="20"/>
          <w:szCs w:val="20"/>
          <w:color w:val="auto"/>
        </w:rPr>
      </w:pPr>
    </w:p>
    <w:p>
      <w:pPr>
        <w:ind w:right="440" w:firstLine="298"/>
        <w:spacing w:after="0" w:line="356" w:lineRule="auto"/>
        <w:rPr>
          <w:sz w:val="20"/>
          <w:szCs w:val="20"/>
          <w:color w:val="auto"/>
        </w:rPr>
      </w:pPr>
      <w:r>
        <w:rPr>
          <w:rFonts w:ascii="Arial" w:cs="Arial" w:eastAsia="Arial" w:hAnsi="Arial"/>
          <w:sz w:val="13"/>
          <w:szCs w:val="13"/>
          <w:color w:val="auto"/>
        </w:rPr>
        <w:t>Except as set forth in the footnotes below, the percentages included in the following table are based on 107,744,527 shares of Class A common stock outstanding, 13,509,886 Virtu Financial Units and related shares of Class C common stock, and 69,091,740 Virtu Financial Units and related shares of Class D common stock outstanding as of April 12, 2019.</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Unless otherwise indicated, the address for each beneficial owner listed below is: c/o Virtu Financial, Inc., One Liberty Plaza, 165 Broadway, New York, New York 10006.</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2"/>
              </w:rPr>
              <w:t>Class A Common Stock (on</w:t>
            </w:r>
          </w:p>
        </w:tc>
        <w:tc>
          <w:tcPr>
            <w:tcW w:w="172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1"/>
              </w:rPr>
              <w:t>Class B Common Stock</w:t>
            </w: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Combined</w:t>
            </w:r>
          </w:p>
        </w:tc>
      </w:tr>
      <w:tr>
        <w:trPr>
          <w:trHeight w:val="126"/>
        </w:trPr>
        <w:tc>
          <w:tcPr>
            <w:tcW w:w="20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2"/>
              </w:rPr>
              <w:t>a fully exchanged and</w:t>
            </w:r>
          </w:p>
        </w:tc>
        <w:tc>
          <w:tcPr>
            <w:tcW w:w="172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3"/>
              </w:rPr>
              <w:t>(on a fully exchanged and</w:t>
            </w: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Voting</w:t>
            </w:r>
          </w:p>
        </w:tc>
      </w:tr>
      <w:tr>
        <w:trPr>
          <w:trHeight w:val="137"/>
        </w:trPr>
        <w:tc>
          <w:tcPr>
            <w:tcW w:w="20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9"/>
              </w:rPr>
              <w:t>converted basis)</w:t>
            </w:r>
          </w:p>
        </w:tc>
        <w:tc>
          <w:tcPr>
            <w:tcW w:w="172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3"/>
              </w:rPr>
              <w:t>converted basis)(1)</w:t>
            </w: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Power(2)</w:t>
            </w:r>
          </w:p>
        </w:tc>
      </w:tr>
      <w:tr>
        <w:trPr>
          <w:trHeight w:val="117"/>
        </w:trPr>
        <w:tc>
          <w:tcPr>
            <w:tcW w:w="20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60" w:type="dxa"/>
            <w:vAlign w:val="bottom"/>
            <w:tcBorders>
              <w:top w:val="single" w:sz="8" w:color="auto"/>
              <w:bottom w:val="single" w:sz="8" w:color="auto"/>
            </w:tcBorders>
          </w:tcPr>
          <w:p>
            <w:pPr>
              <w:ind w:left="220"/>
              <w:spacing w:after="0" w:line="117" w:lineRule="exact"/>
              <w:rPr>
                <w:sz w:val="20"/>
                <w:szCs w:val="20"/>
                <w:color w:val="auto"/>
              </w:rPr>
            </w:pPr>
            <w:r>
              <w:rPr>
                <w:rFonts w:ascii="Arial" w:cs="Arial" w:eastAsia="Arial" w:hAnsi="Arial"/>
                <w:sz w:val="11"/>
                <w:szCs w:val="11"/>
                <w:b w:val="1"/>
                <w:bCs w:val="1"/>
                <w:color w:val="auto"/>
              </w:rPr>
              <w:t>Number</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ind w:left="60"/>
              <w:spacing w:after="0" w:line="117" w:lineRule="exact"/>
              <w:rPr>
                <w:sz w:val="20"/>
                <w:szCs w:val="20"/>
                <w:color w:val="auto"/>
              </w:rPr>
            </w:pPr>
            <w:r>
              <w:rPr>
                <w:rFonts w:ascii="Arial" w:cs="Arial" w:eastAsia="Arial" w:hAnsi="Arial"/>
                <w:sz w:val="11"/>
                <w:szCs w:val="11"/>
                <w:b w:val="1"/>
                <w:bCs w:val="1"/>
                <w:color w:val="auto"/>
                <w:w w:val="97"/>
              </w:rPr>
              <w:t>Percentage</w:t>
            </w:r>
          </w:p>
        </w:tc>
        <w:tc>
          <w:tcPr>
            <w:tcW w:w="14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109"/>
              <w:spacing w:after="0" w:line="117" w:lineRule="exact"/>
              <w:rPr>
                <w:sz w:val="20"/>
                <w:szCs w:val="20"/>
                <w:color w:val="auto"/>
              </w:rPr>
            </w:pPr>
            <w:r>
              <w:rPr>
                <w:rFonts w:ascii="Arial" w:cs="Arial" w:eastAsia="Arial" w:hAnsi="Arial"/>
                <w:sz w:val="11"/>
                <w:szCs w:val="11"/>
                <w:b w:val="1"/>
                <w:bCs w:val="1"/>
                <w:color w:val="auto"/>
              </w:rPr>
              <w:t>Number</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w w:val="97"/>
              </w:rPr>
              <w:t>Percentage</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0"/>
              </w:rPr>
              <w:t>Percentage</w:t>
            </w:r>
          </w:p>
        </w:tc>
        <w:tc>
          <w:tcPr>
            <w:tcW w:w="140" w:type="dxa"/>
            <w:vAlign w:val="bottom"/>
          </w:tcPr>
          <w:p>
            <w:pPr>
              <w:spacing w:after="0"/>
              <w:rPr>
                <w:sz w:val="10"/>
                <w:szCs w:val="10"/>
                <w:color w:val="auto"/>
              </w:rPr>
            </w:pPr>
          </w:p>
        </w:tc>
      </w:tr>
      <w:tr>
        <w:trPr>
          <w:trHeight w:val="117"/>
        </w:trPr>
        <w:tc>
          <w:tcPr>
            <w:tcW w:w="20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320" w:type="dxa"/>
            <w:vAlign w:val="bottom"/>
            <w:gridSpan w:val="10"/>
          </w:tcPr>
          <w:p>
            <w:pPr>
              <w:jc w:val="right"/>
              <w:ind w:right="580"/>
              <w:spacing w:after="0" w:line="117" w:lineRule="exact"/>
              <w:rPr>
                <w:sz w:val="20"/>
                <w:szCs w:val="20"/>
                <w:color w:val="auto"/>
              </w:rPr>
            </w:pPr>
            <w:r>
              <w:rPr>
                <w:rFonts w:ascii="Arial" w:cs="Arial" w:eastAsia="Arial" w:hAnsi="Arial"/>
                <w:sz w:val="11"/>
                <w:szCs w:val="11"/>
                <w:b w:val="1"/>
                <w:bCs w:val="1"/>
                <w:color w:val="auto"/>
              </w:rPr>
              <w:t>As of April 12, 2019 (unless otherwise stated in the footnotes below)</w:t>
            </w: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Name of Beneficial Owner</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4880" w:type="dxa"/>
            <w:vAlign w:val="bottom"/>
            <w:gridSpan w:val="2"/>
          </w:tcPr>
          <w:p>
            <w:pPr>
              <w:spacing w:after="0"/>
              <w:rPr>
                <w:sz w:val="20"/>
                <w:szCs w:val="20"/>
                <w:color w:val="auto"/>
              </w:rPr>
            </w:pPr>
            <w:r>
              <w:rPr>
                <w:rFonts w:ascii="Arial" w:cs="Arial" w:eastAsia="Arial" w:hAnsi="Arial"/>
                <w:sz w:val="15"/>
                <w:szCs w:val="15"/>
                <w:b w:val="1"/>
                <w:bCs w:val="1"/>
                <w:color w:val="auto"/>
              </w:rPr>
              <w:t>5% Equityholders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TJMT Holdings LLC(3)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69,091,740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69,091,740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85.0%</w:t>
            </w:r>
          </w:p>
        </w:tc>
      </w:tr>
      <w:tr>
        <w:trPr>
          <w:trHeight w:val="183"/>
        </w:trPr>
        <w:tc>
          <w:tcPr>
            <w:tcW w:w="4880" w:type="dxa"/>
            <w:vAlign w:val="bottom"/>
            <w:gridSpan w:val="2"/>
          </w:tcPr>
          <w:p>
            <w:pPr>
              <w:spacing w:after="0"/>
              <w:rPr>
                <w:sz w:val="20"/>
                <w:szCs w:val="20"/>
                <w:color w:val="auto"/>
              </w:rPr>
            </w:pPr>
            <w:r>
              <w:rPr>
                <w:rFonts w:ascii="Arial" w:cs="Arial" w:eastAsia="Arial" w:hAnsi="Arial"/>
                <w:sz w:val="15"/>
                <w:szCs w:val="15"/>
                <w:color w:val="auto"/>
              </w:rPr>
              <w:t>Virtu Employee Holdco LLC(4)</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8,088,185</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4.2%</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1.0%</w:t>
            </w: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Funds affiliated with Havelock Fund Investments Pte Ltd.(5)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16,880,503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w:t>
            </w:r>
          </w:p>
        </w:tc>
      </w:tr>
      <w:tr>
        <w:trPr>
          <w:trHeight w:val="183"/>
        </w:trPr>
        <w:tc>
          <w:tcPr>
            <w:tcW w:w="4880" w:type="dxa"/>
            <w:vAlign w:val="bottom"/>
            <w:gridSpan w:val="2"/>
          </w:tcPr>
          <w:p>
            <w:pPr>
              <w:spacing w:after="0"/>
              <w:rPr>
                <w:sz w:val="20"/>
                <w:szCs w:val="20"/>
                <w:color w:val="auto"/>
              </w:rPr>
            </w:pPr>
            <w:r>
              <w:rPr>
                <w:rFonts w:ascii="Arial" w:cs="Arial" w:eastAsia="Arial" w:hAnsi="Arial"/>
                <w:sz w:val="15"/>
                <w:szCs w:val="15"/>
                <w:color w:val="auto"/>
              </w:rPr>
              <w:t>The Vanguard Group(6)</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6,069,815</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3.2%</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Ordinal Ventures, LLC (f/k/a North Island Ventures, LLC)(7)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40,064,103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4.9%</w:t>
            </w:r>
          </w:p>
        </w:tc>
      </w:tr>
      <w:tr>
        <w:trPr>
          <w:trHeight w:val="183"/>
        </w:trPr>
        <w:tc>
          <w:tcPr>
            <w:tcW w:w="4880" w:type="dxa"/>
            <w:vAlign w:val="bottom"/>
            <w:gridSpan w:val="2"/>
          </w:tcPr>
          <w:p>
            <w:pPr>
              <w:spacing w:after="0"/>
              <w:rPr>
                <w:sz w:val="20"/>
                <w:szCs w:val="20"/>
                <w:color w:val="auto"/>
              </w:rPr>
            </w:pPr>
            <w:r>
              <w:rPr>
                <w:rFonts w:ascii="Arial" w:cs="Arial" w:eastAsia="Arial" w:hAnsi="Arial"/>
                <w:sz w:val="15"/>
                <w:szCs w:val="15"/>
                <w:b w:val="1"/>
                <w:bCs w:val="1"/>
                <w:color w:val="auto"/>
              </w:rPr>
              <w:t>Directors and Executive Officers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Vincent Viola(3)(4)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78,113,675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69,091,740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86.2%</w:t>
            </w:r>
          </w:p>
        </w:tc>
      </w:tr>
      <w:tr>
        <w:trPr>
          <w:trHeight w:val="183"/>
        </w:trPr>
        <w:tc>
          <w:tcPr>
            <w:tcW w:w="4880" w:type="dxa"/>
            <w:vAlign w:val="bottom"/>
            <w:gridSpan w:val="2"/>
          </w:tcPr>
          <w:p>
            <w:pPr>
              <w:spacing w:after="0"/>
              <w:rPr>
                <w:sz w:val="20"/>
                <w:szCs w:val="20"/>
                <w:color w:val="auto"/>
              </w:rPr>
            </w:pPr>
            <w:r>
              <w:rPr>
                <w:rFonts w:ascii="Arial" w:cs="Arial" w:eastAsia="Arial" w:hAnsi="Arial"/>
                <w:sz w:val="15"/>
                <w:szCs w:val="15"/>
                <w:color w:val="auto"/>
              </w:rPr>
              <w:t>Douglas A. Cifu(8)</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3,975,546</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2.1%</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Joseph Molluso(9)(10)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529,158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80" w:type="dxa"/>
            <w:vAlign w:val="bottom"/>
            <w:gridSpan w:val="2"/>
          </w:tcPr>
          <w:p>
            <w:pPr>
              <w:spacing w:after="0"/>
              <w:rPr>
                <w:sz w:val="20"/>
                <w:szCs w:val="20"/>
                <w:color w:val="auto"/>
              </w:rPr>
            </w:pPr>
            <w:r>
              <w:rPr>
                <w:rFonts w:ascii="Arial" w:cs="Arial" w:eastAsia="Arial" w:hAnsi="Arial"/>
                <w:sz w:val="15"/>
                <w:szCs w:val="15"/>
                <w:color w:val="auto"/>
              </w:rPr>
              <w:t>Stephen Cavoli</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54,340</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Greifeld(7)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40,070,950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4.9%</w:t>
            </w:r>
          </w:p>
        </w:tc>
      </w:tr>
      <w:tr>
        <w:trPr>
          <w:trHeight w:val="183"/>
        </w:trPr>
        <w:tc>
          <w:tcPr>
            <w:tcW w:w="4880" w:type="dxa"/>
            <w:vAlign w:val="bottom"/>
            <w:gridSpan w:val="2"/>
          </w:tcPr>
          <w:p>
            <w:pPr>
              <w:spacing w:after="0"/>
              <w:rPr>
                <w:sz w:val="20"/>
                <w:szCs w:val="20"/>
                <w:color w:val="auto"/>
              </w:rPr>
            </w:pPr>
            <w:r>
              <w:rPr>
                <w:rFonts w:ascii="Arial" w:cs="Arial" w:eastAsia="Arial" w:hAnsi="Arial"/>
                <w:sz w:val="15"/>
                <w:szCs w:val="15"/>
                <w:color w:val="auto"/>
              </w:rPr>
              <w:t>David J. Urban</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William F. Cruger, Jr.(9)(10)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26,952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80" w:type="dxa"/>
            <w:vAlign w:val="bottom"/>
            <w:gridSpan w:val="2"/>
          </w:tcPr>
          <w:p>
            <w:pPr>
              <w:spacing w:after="0"/>
              <w:rPr>
                <w:sz w:val="20"/>
                <w:szCs w:val="20"/>
                <w:color w:val="auto"/>
              </w:rPr>
            </w:pPr>
            <w:r>
              <w:rPr>
                <w:rFonts w:ascii="Arial" w:cs="Arial" w:eastAsia="Arial" w:hAnsi="Arial"/>
                <w:sz w:val="15"/>
                <w:szCs w:val="15"/>
                <w:color w:val="auto"/>
              </w:rPr>
              <w:t>Joseph J. Grano, Jr.</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5,135</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Glenn Hutchins(7)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40,070,950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4.9%</w:t>
            </w:r>
          </w:p>
        </w:tc>
      </w:tr>
      <w:tr>
        <w:trPr>
          <w:trHeight w:val="183"/>
        </w:trPr>
        <w:tc>
          <w:tcPr>
            <w:tcW w:w="4880" w:type="dxa"/>
            <w:vAlign w:val="bottom"/>
            <w:gridSpan w:val="2"/>
          </w:tcPr>
          <w:p>
            <w:pPr>
              <w:spacing w:after="0"/>
              <w:rPr>
                <w:sz w:val="20"/>
                <w:szCs w:val="20"/>
                <w:color w:val="auto"/>
              </w:rPr>
            </w:pPr>
            <w:r>
              <w:rPr>
                <w:rFonts w:ascii="Arial" w:cs="Arial" w:eastAsia="Arial" w:hAnsi="Arial"/>
                <w:sz w:val="15"/>
                <w:szCs w:val="15"/>
                <w:color w:val="auto"/>
              </w:rPr>
              <w:t>John D. Nixon(10)</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24,894</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Christopher C. Quick</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13,984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80" w:type="dxa"/>
            <w:vAlign w:val="bottom"/>
            <w:gridSpan w:val="2"/>
          </w:tcPr>
          <w:p>
            <w:pPr>
              <w:spacing w:after="0"/>
              <w:rPr>
                <w:sz w:val="20"/>
                <w:szCs w:val="20"/>
                <w:color w:val="auto"/>
              </w:rPr>
            </w:pPr>
            <w:r>
              <w:rPr>
                <w:rFonts w:ascii="Arial" w:cs="Arial" w:eastAsia="Arial" w:hAnsi="Arial"/>
                <w:sz w:val="15"/>
                <w:szCs w:val="15"/>
                <w:color w:val="auto"/>
              </w:rPr>
              <w:t>John F. (Jack) Sandner(9)(10)</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28,224</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Michael T. Viola(3)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69,221,264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36.0%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85.1%</w:t>
            </w:r>
          </w:p>
        </w:tc>
      </w:tr>
      <w:tr>
        <w:trPr>
          <w:trHeight w:val="193"/>
        </w:trPr>
        <w:tc>
          <w:tcPr>
            <w:tcW w:w="4880" w:type="dxa"/>
            <w:vAlign w:val="bottom"/>
            <w:gridSpan w:val="2"/>
          </w:tcPr>
          <w:p>
            <w:pPr>
              <w:spacing w:after="0"/>
              <w:rPr>
                <w:sz w:val="20"/>
                <w:szCs w:val="20"/>
                <w:color w:val="auto"/>
              </w:rPr>
            </w:pPr>
            <w:r>
              <w:rPr>
                <w:rFonts w:ascii="Arial" w:cs="Arial" w:eastAsia="Arial" w:hAnsi="Arial"/>
                <w:sz w:val="15"/>
                <w:szCs w:val="15"/>
                <w:b w:val="1"/>
                <w:bCs w:val="1"/>
                <w:color w:val="auto"/>
              </w:rPr>
              <w:t>All directors and executive officers as a group (13 persons)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122,439,037</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63.7%</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69,091,740</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100%</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91.6%</w:t>
            </w:r>
          </w:p>
        </w:tc>
      </w:tr>
      <w:tr>
        <w:trPr>
          <w:trHeight w:val="82"/>
        </w:trPr>
        <w:tc>
          <w:tcPr>
            <w:tcW w:w="2020" w:type="dxa"/>
            <w:vAlign w:val="bottom"/>
            <w:tcBorders>
              <w:bottom w:val="single" w:sz="8" w:color="auto"/>
            </w:tcBorders>
          </w:tcPr>
          <w:p>
            <w:pPr>
              <w:spacing w:after="0"/>
              <w:rPr>
                <w:sz w:val="7"/>
                <w:szCs w:val="7"/>
                <w:color w:val="auto"/>
              </w:rPr>
            </w:pPr>
          </w:p>
        </w:tc>
        <w:tc>
          <w:tcPr>
            <w:tcW w:w="2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7" w:lineRule="exact"/>
        <w:rPr>
          <w:sz w:val="20"/>
          <w:szCs w:val="20"/>
          <w:color w:val="auto"/>
        </w:rPr>
      </w:pPr>
    </w:p>
    <w:p>
      <w:pPr>
        <w:ind w:left="1600" w:hanging="464"/>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217" w:lineRule="exact"/>
        <w:rPr>
          <w:sz w:val="20"/>
          <w:szCs w:val="20"/>
          <w:color w:val="auto"/>
        </w:rPr>
      </w:pPr>
    </w:p>
    <w:p>
      <w:pPr>
        <w:jc w:val="both"/>
        <w:ind w:left="1600" w:right="160" w:hanging="464"/>
        <w:spacing w:after="0" w:line="265"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Represents (i) 69,091,740 shares of Class A common stock issuable to the Founder Member at any time upon (a) the exchange of the 69,091,740 Virtu Financial Units and an equal number of shares of Class D common stock held by the Founder Member for shares of Class B common stock and (b) the conversion of such shares of Class B common stock into shares of Class A common stock.</w:t>
      </w:r>
    </w:p>
    <w:p>
      <w:pPr>
        <w:spacing w:after="0" w:line="172" w:lineRule="exact"/>
        <w:rPr>
          <w:rFonts w:ascii="Arial" w:cs="Arial" w:eastAsia="Arial" w:hAnsi="Arial"/>
          <w:sz w:val="15"/>
          <w:szCs w:val="15"/>
          <w:color w:val="auto"/>
        </w:rPr>
      </w:pPr>
    </w:p>
    <w:p>
      <w:pPr>
        <w:ind w:left="1600" w:hanging="464"/>
        <w:spacing w:after="0" w:line="283"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of the economic rights (including rights to dividends and distributions upon liquidation) associated with our Class A common stock and Class B common stock.</w:t>
      </w:r>
    </w:p>
    <w:p>
      <w:pPr>
        <w:spacing w:after="0" w:line="160" w:lineRule="exact"/>
        <w:rPr>
          <w:rFonts w:ascii="Arial" w:cs="Arial" w:eastAsia="Arial" w:hAnsi="Arial"/>
          <w:sz w:val="14"/>
          <w:szCs w:val="14"/>
          <w:color w:val="auto"/>
        </w:rPr>
      </w:pPr>
    </w:p>
    <w:p>
      <w:pPr>
        <w:ind w:left="1600" w:right="260" w:hanging="464"/>
        <w:spacing w:after="0" w:line="277"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Founder Member is owned by trusts for the benefit of family members of Mr. Viola and Teresa Viola, Mr. Viola's wife. Teresa Viola and Michael T. Viola, Mr. Viola's son and one of our directors, share dispositive control and voting control over the shares held by the Founder</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1600"/>
        <w:spacing w:after="0" w:line="260" w:lineRule="auto"/>
        <w:rPr>
          <w:sz w:val="20"/>
          <w:szCs w:val="20"/>
          <w:color w:val="auto"/>
        </w:rPr>
      </w:pPr>
      <w:r>
        <w:rPr>
          <w:rFonts w:ascii="Arial" w:cs="Arial" w:eastAsia="Arial" w:hAnsi="Arial"/>
          <w:sz w:val="15"/>
          <w:szCs w:val="15"/>
          <w:color w:val="auto"/>
        </w:rPr>
        <w:t>Member. As a result, Teresa Viola and Michael T. Viola beneficially own 69,091,740 Virtu Financial Units and an equal number of shares of Class D common stock held by the Founder Member. In addition, Michael T. Viola also holds 52,235 Virtu Financial Units and an equal number of shares of Class C common stock through Virtu Employee Holdco, directly owns 62,289 shares of Class A common stock and directly owns 15,000 shares of Class A common stock issuable upon the exercise of stock options that have vested or will vest within the next 60 days. Mr. Vincent Viola may be deemed to beneficially own the shares held by the Founder Member by virtue of his relationship with Teresa Viola.</w:t>
      </w:r>
    </w:p>
    <w:p>
      <w:pPr>
        <w:spacing w:after="0" w:line="176" w:lineRule="exact"/>
        <w:rPr>
          <w:sz w:val="20"/>
          <w:szCs w:val="20"/>
          <w:color w:val="auto"/>
        </w:rPr>
      </w:pPr>
    </w:p>
    <w:p>
      <w:pPr>
        <w:ind w:left="1600" w:right="20" w:hanging="464"/>
        <w:spacing w:after="0" w:line="279" w:lineRule="auto"/>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Viola is the manager of Virtu Employee Holdco, a vehicle that holds Virtu Financial Units on behalf of certain directors and key employees, and exercises dispositive control and voting control over the 8,088,185 Class A common shares issuable upon the exchange of Virtu Financial Units and corresponding shares of Class C common stock held by Virtu Employee Holdco (including both vested and unvested Virtu Financial Units and corresponding shares of Class C common stock). Mr. Viola disclaims beneficial ownership in such shares except to the extent of his pecuniary interest therein. In addition, Mr. Viola directly owns 693,750 shares of Class A common stock issuable upon the exercise of stock options that have vested or will vest within the next 60 days, and may be deemed to beneficially own 69,091,740 Virtu Financial Units and an equal number of shares of Class D common stock, each beneficially owned by Teresa Viola, Mr. Viola's wife, that Mr. Viola may be deemed to beneficially own by virtue of their relationship.</w:t>
      </w:r>
    </w:p>
    <w:p>
      <w:pPr>
        <w:spacing w:after="0" w:line="177" w:lineRule="exact"/>
        <w:rPr>
          <w:rFonts w:ascii="Arial" w:cs="Arial" w:eastAsia="Arial" w:hAnsi="Arial"/>
          <w:sz w:val="14"/>
          <w:szCs w:val="14"/>
          <w:color w:val="auto"/>
        </w:rPr>
      </w:pPr>
    </w:p>
    <w:p>
      <w:pPr>
        <w:ind w:left="1600" w:right="140" w:hanging="464"/>
        <w:spacing w:after="0" w:line="301" w:lineRule="auto"/>
        <w:tabs>
          <w:tab w:leader="none" w:pos="1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upon statements in the Schedule 13D/A filed by Temasek Holdings (Private) Limited ("Temasek"), Fullerton Fund Investments Pte Ltd ("Fullerton"), Havelock Fund Investments Pte Ltd ("Havelock"), Temasek Capital (Private) Limited ("Temasek Capital"), Seletar Investments Pte Ltd ("Seletar") and Aranda Investments Pte. Ltd. ("Aranda") on May 15, 2018. Fullerton, through its ownership of Havelock, may be deemed to share voting and dispositive power over the 8,867,682 shares of Class A common stock beneficially owned or deemed to be beneficially owned by Havelock. Seletar, through its ownership of Aranda, and Temasek Capital, through its ownership of Seletar, each may be deemed to share voting and dispositive power over the 8,012,821 shares of Class A common stock beneficially owned or deemed to be beneficially owned by Aranda. Temasek, through its ownership of Fullerton and Temasek Capital, may be deemed to share voting and dispositive power over the shares of Class A common stock beneficially owned or deemed to be beneficially owned by Fullerton, Havelock, Temasek Capital, Seletar and Aranda. Havelock is the direct beneficial owner of 8,867,682 shares of Class A common stock, and Aranda is the direct beneficial owner of 8,012,821 shares of Class A common stock. The address of Temasek is 60B Orchard Road, #06-18 Tower 2, The Atrium@Orchard, Singapore 238891.</w:t>
      </w:r>
    </w:p>
    <w:p>
      <w:pPr>
        <w:spacing w:after="0" w:line="155" w:lineRule="exact"/>
        <w:rPr>
          <w:rFonts w:ascii="Arial" w:cs="Arial" w:eastAsia="Arial" w:hAnsi="Arial"/>
          <w:sz w:val="13"/>
          <w:szCs w:val="13"/>
          <w:color w:val="auto"/>
        </w:rPr>
      </w:pPr>
    </w:p>
    <w:p>
      <w:pPr>
        <w:ind w:left="1600" w:right="60" w:hanging="464"/>
        <w:spacing w:after="0" w:line="262" w:lineRule="auto"/>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upon statements in the Schedule 13G filed by The Vanguard Group ("Vanguard") on February 12, 2019. Vanguard has (i) sole voting power over 28,306 shares of Class A common stock; (ii) shared voting power over 4,033 shares of Class A common stock; (iii) sole dispositive power over 6,042,735 shares of Class A common stock; and (iv) shared dispositive power over 27,080 shares of Class A common stock. The address of Vanguard is 100 Vanguard Blvd., Malvern, PA 19355.</w:t>
      </w:r>
    </w:p>
    <w:p>
      <w:pPr>
        <w:spacing w:after="0" w:line="173" w:lineRule="exact"/>
        <w:rPr>
          <w:rFonts w:ascii="Arial" w:cs="Arial" w:eastAsia="Arial" w:hAnsi="Arial"/>
          <w:sz w:val="15"/>
          <w:szCs w:val="15"/>
          <w:color w:val="auto"/>
        </w:rPr>
      </w:pPr>
    </w:p>
    <w:p>
      <w:pPr>
        <w:ind w:left="1600" w:right="80" w:hanging="464"/>
        <w:spacing w:after="0" w:line="296" w:lineRule="auto"/>
        <w:tabs>
          <w:tab w:leader="none" w:pos="1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upon statements in the Schedule 13D filed by Ordinal Ventures, LLC (f/k/a North Island Ventures, LLC) ("Ventures"), Ordinal Holdings I, LP (f/k/a North Island Holdings I, LP) ("NIH"), Ordinal Holdings I GP, LP (f/k/a North Island Holdings I GP, LP) (the "NIH GP"), North Island, West Meadow Group LLC ("West Meadow"), Glenn H. Hutchins and Robert Greifeld (collectively, the "NIH Reporting Persons") on July 31, 2017. NIH GP is the sole general partner of NIH, and in that capacity, directs the operations of NIH. Ventures is the sole general partner of the NIH GP, and in that capacity, directs the operations of the NIH GP.</w:t>
      </w:r>
    </w:p>
    <w:p>
      <w:pPr>
        <w:ind w:left="1600" w:right="240"/>
        <w:spacing w:after="0" w:line="269" w:lineRule="auto"/>
        <w:rPr>
          <w:rFonts w:ascii="Arial" w:cs="Arial" w:eastAsia="Arial" w:hAnsi="Arial"/>
          <w:sz w:val="13"/>
          <w:szCs w:val="13"/>
          <w:color w:val="auto"/>
        </w:rPr>
      </w:pPr>
      <w:r>
        <w:rPr>
          <w:rFonts w:ascii="Arial" w:cs="Arial" w:eastAsia="Arial" w:hAnsi="Arial"/>
          <w:sz w:val="15"/>
          <w:szCs w:val="15"/>
          <w:color w:val="auto"/>
        </w:rPr>
        <w:t>Messrs. Hutchins and Greifeld, directly and/or indirectly through North Island and West Meadow, respectively, each controls 50% of the membership interests in Ventures and are executives of Ventures. North Island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spacing w:after="0" w:line="257" w:lineRule="auto"/>
        <w:rPr>
          <w:sz w:val="20"/>
          <w:szCs w:val="20"/>
          <w:color w:val="auto"/>
        </w:rPr>
      </w:pPr>
      <w:r>
        <w:rPr>
          <w:rFonts w:ascii="Arial" w:cs="Arial" w:eastAsia="Arial" w:hAnsi="Arial"/>
          <w:sz w:val="15"/>
          <w:szCs w:val="15"/>
          <w:color w:val="auto"/>
        </w:rPr>
        <w:t>and West Meadow are controlled by Messrs. Hutchins and Greifeld, respectively. The NIH Reporting persons have shared voting and dispositive power over 39,725,979 shares of Class A common stock. The principal business address of each of Ventures and Messrs. Hutchins and Greifeld is 667 Madison Avenue, New York, NY 10065, and the principal business address of each of NIH and NIH GP is c/o Ordinal Ventures, LLC (f/k/a North Island Ventures, LLC), 667 Madison Avenue, New York, NY 10065. The principal business address of North Island is c/o Glenn H. Hutchins, 667 Madison Avenue, New York, NY 10065. The principal business address of West Meadow is c/o Robert Greifeld, 667 Madison Avenue, New York, NY 10065. Under the Stockholders Agreement (as defined below), the Founder Member has agreed to take all necessary action, including voting all of its shares of capital stock of the Company or providing written consent to cause the election of the directors nominated by NIH pursuant to the NIH Investment Agreement (as defined below) and in accordance with the terms of the Stockholders Agreement.</w:t>
      </w:r>
    </w:p>
    <w:p>
      <w:pPr>
        <w:spacing w:after="0" w:line="182" w:lineRule="exact"/>
        <w:rPr>
          <w:sz w:val="20"/>
          <w:szCs w:val="20"/>
          <w:color w:val="auto"/>
        </w:rPr>
      </w:pPr>
    </w:p>
    <w:p>
      <w:pPr>
        <w:ind w:left="1600" w:hanging="464"/>
        <w:spacing w:after="0" w:line="258"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Class A common stock owned by Mr. Cifu is comprised of (i) 100,000 shares of Class A common stock issuable upon the exercise of stock options that have vested or will vest within the next 60 days; (ii) 2,830,742 shares of Class A common stock issuable upon the exchange of Virtu Financial Units and corresponding shares of Class C common stock held by Mr. Cifu; (iii) 819,804 shares of Class A common stock issuable upon the exchange of Virtu Financial Units and corresponding shares of Class C common stock held by a trust for the benefit of the Cifu Family (the "Cifu Family Trust") and (iv) 225,000 shares of Class A common stock held by Mr. Cifu directly. Melissa B. Lautenberg, Mr. Cifu's wife, and Dr. Mitchel A. Lautenberg, Ms. Lautenberg's brother, share dispositive control and voting control over the shares held by the Cifu Family Trust. Mr. Cifu may be deemed to beneficially own the shares held by the Cifu Family Trust by virtue of his relationship with Ms. Lautenberg.</w:t>
      </w:r>
    </w:p>
    <w:p>
      <w:pPr>
        <w:spacing w:after="0" w:line="189" w:lineRule="exact"/>
        <w:rPr>
          <w:rFonts w:ascii="Arial" w:cs="Arial" w:eastAsia="Arial" w:hAnsi="Arial"/>
          <w:sz w:val="15"/>
          <w:szCs w:val="15"/>
          <w:color w:val="auto"/>
        </w:rPr>
      </w:pPr>
    </w:p>
    <w:p>
      <w:pPr>
        <w:ind w:left="1600" w:hanging="464"/>
        <w:spacing w:after="0" w:line="277"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Virtu Financial Units and corresponding shares of Class C common stock held by Virtu Employee Holdco on behalf of such person that have vested or will vest within the next 60 days.</w:t>
      </w:r>
    </w:p>
    <w:p>
      <w:pPr>
        <w:spacing w:after="0" w:line="162" w:lineRule="exact"/>
        <w:rPr>
          <w:rFonts w:ascii="Arial" w:cs="Arial" w:eastAsia="Arial" w:hAnsi="Arial"/>
          <w:sz w:val="15"/>
          <w:szCs w:val="15"/>
          <w:color w:val="auto"/>
        </w:rPr>
      </w:pPr>
    </w:p>
    <w:p>
      <w:pPr>
        <w:ind w:left="1600" w:hanging="464"/>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stock options or restricted stock units that have vested or will vest within the next 60 days.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Related Party Transactions Policies and Procedures</w:t>
      </w:r>
    </w:p>
    <w:p>
      <w:pPr>
        <w:spacing w:after="0" w:line="198" w:lineRule="exact"/>
        <w:rPr>
          <w:sz w:val="20"/>
          <w:szCs w:val="20"/>
          <w:color w:val="auto"/>
        </w:rPr>
      </w:pPr>
    </w:p>
    <w:p>
      <w:pPr>
        <w:ind w:right="440" w:firstLine="298"/>
        <w:spacing w:after="0" w:line="265" w:lineRule="auto"/>
        <w:rPr>
          <w:sz w:val="20"/>
          <w:szCs w:val="20"/>
          <w:color w:val="auto"/>
        </w:rPr>
      </w:pPr>
      <w:r>
        <w:rPr>
          <w:rFonts w:ascii="Arial" w:cs="Arial" w:eastAsia="Arial" w:hAnsi="Arial"/>
          <w:sz w:val="15"/>
          <w:szCs w:val="15"/>
          <w:color w:val="auto"/>
        </w:rPr>
        <w:t>Upon the consummation of our initial public offering, we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61" w:lineRule="exact"/>
        <w:rPr>
          <w:sz w:val="20"/>
          <w:szCs w:val="20"/>
          <w:color w:val="auto"/>
        </w:rPr>
      </w:pPr>
    </w:p>
    <w:p>
      <w:pPr>
        <w:ind w:firstLine="298"/>
        <w:spacing w:after="0" w:line="286" w:lineRule="auto"/>
        <w:rPr>
          <w:sz w:val="20"/>
          <w:szCs w:val="20"/>
          <w:color w:val="auto"/>
        </w:rPr>
      </w:pPr>
      <w:r>
        <w:rPr>
          <w:rFonts w:ascii="Arial" w:cs="Arial" w:eastAsia="Arial" w:hAnsi="Arial"/>
          <w:sz w:val="14"/>
          <w:szCs w:val="14"/>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p>
    <w:p>
      <w:pPr>
        <w:spacing w:after="0" w:line="148" w:lineRule="exact"/>
        <w:rPr>
          <w:sz w:val="20"/>
          <w:szCs w:val="20"/>
          <w:color w:val="auto"/>
        </w:rPr>
      </w:pPr>
    </w:p>
    <w:p>
      <w:pPr>
        <w:ind w:firstLine="295"/>
        <w:spacing w:after="0" w:line="260" w:lineRule="auto"/>
        <w:rPr>
          <w:sz w:val="20"/>
          <w:szCs w:val="20"/>
          <w:color w:val="auto"/>
        </w:rPr>
      </w:pPr>
      <w:r>
        <w:rPr>
          <w:rFonts w:ascii="Arial" w:cs="Arial" w:eastAsia="Arial" w:hAnsi="Arial"/>
          <w:sz w:val="15"/>
          <w:szCs w:val="15"/>
          <w:color w:val="auto"/>
        </w:rPr>
        <w:t>The Policy requires that notice of a proposed related person transaction be provided to our legal department prior to entering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the Audit Committee may determine whether to ratify, rescind or terminate the related person transaction.</w:t>
      </w:r>
    </w:p>
    <w:p>
      <w:pPr>
        <w:spacing w:after="0" w:line="164" w:lineRule="exact"/>
        <w:rPr>
          <w:sz w:val="20"/>
          <w:szCs w:val="20"/>
          <w:color w:val="auto"/>
        </w:rPr>
      </w:pPr>
    </w:p>
    <w:p>
      <w:pPr>
        <w:jc w:val="both"/>
        <w:ind w:right="260" w:firstLine="295"/>
        <w:spacing w:after="0" w:line="265" w:lineRule="auto"/>
        <w:rPr>
          <w:sz w:val="20"/>
          <w:szCs w:val="20"/>
          <w:color w:val="auto"/>
        </w:rPr>
      </w:pPr>
      <w:r>
        <w:rPr>
          <w:rFonts w:ascii="Arial" w:cs="Arial" w:eastAsia="Arial" w:hAnsi="Arial"/>
          <w:sz w:val="15"/>
          <w:szCs w:val="15"/>
          <w:color w:val="auto"/>
        </w:rPr>
        <w:t>The Policy also provides that the Audit Committee reviews certain previously approved or ratified related person transactions that are ongoing to determine whether the related person transaction remains in our best interests and the best interests of our stockholders. Additionally, we make periodic inquiries of directors and executive officers with respect to any potential related person transaction of which they may be a party or of which they may be aware.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Amended and Restated Virtu Financial Limited Liability Company Agreement</w:t>
      </w:r>
    </w:p>
    <w:p>
      <w:pPr>
        <w:spacing w:after="0" w:line="198" w:lineRule="exact"/>
        <w:rPr>
          <w:sz w:val="20"/>
          <w:szCs w:val="20"/>
          <w:color w:val="auto"/>
        </w:rPr>
      </w:pPr>
    </w:p>
    <w:p>
      <w:pPr>
        <w:jc w:val="both"/>
        <w:ind w:right="320" w:firstLine="298"/>
        <w:spacing w:after="0" w:line="265" w:lineRule="auto"/>
        <w:rPr>
          <w:sz w:val="20"/>
          <w:szCs w:val="20"/>
          <w:color w:val="auto"/>
        </w:rPr>
      </w:pPr>
      <w:r>
        <w:rPr>
          <w:rFonts w:ascii="Arial" w:cs="Arial" w:eastAsia="Arial" w:hAnsi="Arial"/>
          <w:sz w:val="15"/>
          <w:szCs w:val="15"/>
          <w:color w:val="auto"/>
        </w:rPr>
        <w:t>In connection with reorganization transactions preceding our initial public offering (which we refer to as the "reorganization transactions"), we, Virtu Financial and each of the Virtu Members (including the Founder Member, Mr. Cifu, certain affiliates of Silver Lake Partners, an affiliate of Temasek and Virtu Employee Holdco) entered into the Amended and Restated Virtu Financial LLC Agreement (as it may be amended from time to time).</w:t>
      </w:r>
    </w:p>
    <w:p>
      <w:pPr>
        <w:spacing w:after="0" w:line="161" w:lineRule="exact"/>
        <w:rPr>
          <w:sz w:val="20"/>
          <w:szCs w:val="20"/>
          <w:color w:val="auto"/>
        </w:rPr>
      </w:pPr>
    </w:p>
    <w:p>
      <w:pPr>
        <w:ind w:right="20" w:firstLine="298"/>
        <w:spacing w:after="0" w:line="281" w:lineRule="auto"/>
        <w:rPr>
          <w:sz w:val="20"/>
          <w:szCs w:val="20"/>
          <w:color w:val="auto"/>
        </w:rPr>
      </w:pPr>
      <w:r>
        <w:rPr>
          <w:rFonts w:ascii="Arial" w:cs="Arial" w:eastAsia="Arial" w:hAnsi="Arial"/>
          <w:sz w:val="14"/>
          <w:szCs w:val="14"/>
          <w:color w:val="auto"/>
        </w:rPr>
        <w:t>In accordance with the terms of the Amended and Restated Virtu Financial LLC Agreement, we operate our business through Virtu Financial and its subsidiaries. Pursuant to the terms of the Amended and Restated Virtu Financial LLC Agreement, so long as affiliates of Mr. Viola continue to own any Virtu Financial Units, shares of our Class A common stock or securities exchangeable or convertible into shares of our Class A common stock, we will not, without the prior written consent of such holders, engage in any business activity other than the management and ownership of Virtu Financial and its subsidiaries or own any assets other than securities of Virtu Financial and its subsidiaries and/or any cash or other property or assets distributed by or otherwise received from Virtu Financial and its subsidiaries, unless we determine in good faith that such actions or ownership are in the best interest of Virtu Financial. As the sole managing member of Virtu Financial, we have control over all of the affairs and decision-making of Virtu Financial. As such, through our officers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directors, we are responsible for all operational and administrative decisions of Virtu Financial and the day-to-day management of Virtu Financial's business. We will fund any dividends to our stockholders by causing Virtu Financial to make distributions to its equityholders, including the Founder Member, Virtu Employee Holdco, the Employee Trust and us, subject to the limitations imposed by our credit agreement.</w:t>
      </w:r>
    </w:p>
    <w:p>
      <w:pPr>
        <w:spacing w:after="0" w:line="161"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The holders of Virtu Financial Units generally incur U.S. federal, state and local income taxes on their proportionate share of any net taxable income of Virtu Financial. Net profits and net losses of Virtu Financial are generally allocated to its members pro rata in accordance with the percentages of their respective ownership of Virtu Financial Units, though certain non-pro rata adjustments are made to reflect tax depreciation, amortization and other allocations. The Amended and Restated Virtu Financial LLC Agreement provides for cash distributions to the holders of Virtu Financial Units for purposes of funding their tax obligations in respect of the taxable income of Virtu Financial that is allocated to them. Generally, these tax distributions are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167" w:lineRule="exact"/>
        <w:rPr>
          <w:sz w:val="20"/>
          <w:szCs w:val="20"/>
          <w:color w:val="auto"/>
        </w:rPr>
      </w:pPr>
    </w:p>
    <w:p>
      <w:pPr>
        <w:ind w:right="40" w:firstLine="295"/>
        <w:spacing w:after="0" w:line="299" w:lineRule="auto"/>
        <w:rPr>
          <w:sz w:val="20"/>
          <w:szCs w:val="20"/>
          <w:color w:val="auto"/>
        </w:rPr>
      </w:pPr>
      <w:r>
        <w:rPr>
          <w:rFonts w:ascii="Arial" w:cs="Arial" w:eastAsia="Arial" w:hAnsi="Arial"/>
          <w:sz w:val="13"/>
          <w:szCs w:val="13"/>
          <w:color w:val="auto"/>
        </w:rPr>
        <w:t>The Amended and Restated Virtu Financial LLC Agreement provides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stockholders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case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effect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Virtu Financial Units.</w:t>
      </w:r>
    </w:p>
    <w:p>
      <w:pPr>
        <w:spacing w:after="0" w:line="146" w:lineRule="exact"/>
        <w:rPr>
          <w:sz w:val="20"/>
          <w:szCs w:val="20"/>
          <w:color w:val="auto"/>
        </w:rPr>
      </w:pPr>
    </w:p>
    <w:p>
      <w:pPr>
        <w:jc w:val="both"/>
        <w:ind w:right="60" w:firstLine="298"/>
        <w:spacing w:after="0" w:line="265" w:lineRule="auto"/>
        <w:rPr>
          <w:sz w:val="20"/>
          <w:szCs w:val="20"/>
          <w:color w:val="auto"/>
        </w:rPr>
      </w:pPr>
      <w:r>
        <w:rPr>
          <w:rFonts w:ascii="Arial" w:cs="Arial" w:eastAsia="Arial" w:hAnsi="Arial"/>
          <w:sz w:val="15"/>
          <w:szCs w:val="15"/>
          <w:color w:val="auto"/>
        </w:rPr>
        <w:t>Pursuant to the terms of the Amended and Restated Virtu Financial LLC Agreement, certain members of management of Virtu Financial, including Messrs. Viola and Cifu, are subject to non-compete and non-solicitation obligations until the third anniversary of the date on which such person ceases to be an officer, director or employee of ours. The employee members of Virtu Employee Holdco are subject to similar restrictions under the limited liability company agreements of Virtu Employee Holdco.</w:t>
      </w:r>
    </w:p>
    <w:p>
      <w:pPr>
        <w:spacing w:after="0" w:line="161" w:lineRule="exact"/>
        <w:rPr>
          <w:sz w:val="20"/>
          <w:szCs w:val="20"/>
          <w:color w:val="auto"/>
        </w:rPr>
      </w:pPr>
    </w:p>
    <w:p>
      <w:pPr>
        <w:ind w:right="160" w:firstLine="298"/>
        <w:spacing w:after="0" w:line="277" w:lineRule="auto"/>
        <w:rPr>
          <w:sz w:val="20"/>
          <w:szCs w:val="20"/>
          <w:color w:val="auto"/>
        </w:rPr>
      </w:pPr>
      <w:r>
        <w:rPr>
          <w:rFonts w:ascii="Arial" w:cs="Arial" w:eastAsia="Arial" w:hAnsi="Arial"/>
          <w:sz w:val="15"/>
          <w:szCs w:val="15"/>
          <w:color w:val="auto"/>
        </w:rPr>
        <w:t>Subject to certain exceptions, Virtu Financial will indemnify the Virtu Members against all losses or expenses arising from claims or other legal proceedings in which such person (in its capacity as such)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may be involved or become subject to in connection with Virtu Financial's business or affairs or the Amended and Restated Virtu Financial LLC Agreement or any related document.</w:t>
      </w:r>
    </w:p>
    <w:p>
      <w:pPr>
        <w:spacing w:after="0" w:line="205" w:lineRule="exact"/>
        <w:rPr>
          <w:sz w:val="20"/>
          <w:szCs w:val="20"/>
          <w:color w:val="auto"/>
        </w:rPr>
      </w:pPr>
    </w:p>
    <w:p>
      <w:pPr>
        <w:ind w:right="40" w:firstLine="295"/>
        <w:spacing w:after="0" w:line="314" w:lineRule="auto"/>
        <w:rPr>
          <w:sz w:val="20"/>
          <w:szCs w:val="20"/>
          <w:color w:val="auto"/>
        </w:rPr>
      </w:pPr>
      <w:r>
        <w:rPr>
          <w:rFonts w:ascii="Arial" w:cs="Arial" w:eastAsia="Arial" w:hAnsi="Arial"/>
          <w:sz w:val="13"/>
          <w:szCs w:val="13"/>
          <w:color w:val="auto"/>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 (b) second, to the members in proportion to their vested Virtu Financial Units (after giving effect to any obligations of Virtu Financial to make tax distributions).</w:t>
      </w:r>
    </w:p>
    <w:p>
      <w:pPr>
        <w:spacing w:after="0" w:line="133" w:lineRule="exact"/>
        <w:rPr>
          <w:sz w:val="20"/>
          <w:szCs w:val="20"/>
          <w:color w:val="auto"/>
        </w:rPr>
      </w:pPr>
    </w:p>
    <w:p>
      <w:pPr>
        <w:ind w:right="80" w:firstLine="298"/>
        <w:spacing w:after="0" w:line="265" w:lineRule="auto"/>
        <w:rPr>
          <w:sz w:val="20"/>
          <w:szCs w:val="20"/>
          <w:color w:val="auto"/>
        </w:rPr>
      </w:pPr>
      <w:r>
        <w:rPr>
          <w:rFonts w:ascii="Arial" w:cs="Arial" w:eastAsia="Arial" w:hAnsi="Arial"/>
          <w:sz w:val="15"/>
          <w:szCs w:val="15"/>
          <w:color w:val="auto"/>
        </w:rPr>
        <w:t>Historically, Virtu Financial has regularly declared and paid distributions on its equity interests to its members, including the Company. During the year ended December 31, 2018, Virtu Financial declared and paid $396.5 million in cash distributions to its members (including our Founder Member, Employee Holdco, and our executive officers) in accordance with their ownership interests.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Agreement</w:t>
      </w:r>
    </w:p>
    <w:p>
      <w:pPr>
        <w:spacing w:after="0" w:line="198" w:lineRule="exact"/>
        <w:rPr>
          <w:sz w:val="20"/>
          <w:szCs w:val="20"/>
          <w:color w:val="auto"/>
        </w:rPr>
      </w:pPr>
    </w:p>
    <w:p>
      <w:pPr>
        <w:ind w:right="40" w:firstLine="289"/>
        <w:spacing w:after="0" w:line="286" w:lineRule="auto"/>
        <w:rPr>
          <w:sz w:val="20"/>
          <w:szCs w:val="20"/>
          <w:color w:val="auto"/>
        </w:rPr>
      </w:pPr>
      <w:r>
        <w:rPr>
          <w:rFonts w:ascii="Arial" w:cs="Arial" w:eastAsia="Arial" w:hAnsi="Arial"/>
          <w:sz w:val="14"/>
          <w:szCs w:val="14"/>
          <w:color w:val="auto"/>
        </w:rPr>
        <w:t>At the closing of our initial public offering, we entered into an Exchange Agreement (the "Exchange Agreement") with Virtu Financial and each of the Virtu Members, pursuant to which they (or certain transferees thereof) have the right to exchange their Virtu Financial Units (along with the corresponding shares of our Class C common stock or Class D common stock, as applicable) for shares of our Class A common stock or Class B common stock, as applicable, on a one-for-one basis, subject to customary conversion rate adjustments for stock splits, stock dividends and reclassifications. Upon exchange, each share of our Class C common stock or Class D common stock will be cancelled.</w:t>
      </w:r>
    </w:p>
    <w:p>
      <w:pPr>
        <w:spacing w:after="0" w:line="148" w:lineRule="exact"/>
        <w:rPr>
          <w:sz w:val="20"/>
          <w:szCs w:val="20"/>
          <w:color w:val="auto"/>
        </w:rPr>
      </w:pPr>
    </w:p>
    <w:p>
      <w:pPr>
        <w:ind w:firstLine="295"/>
        <w:spacing w:after="0" w:line="281" w:lineRule="auto"/>
        <w:rPr>
          <w:sz w:val="20"/>
          <w:szCs w:val="20"/>
          <w:color w:val="auto"/>
        </w:rPr>
      </w:pPr>
      <w:r>
        <w:rPr>
          <w:rFonts w:ascii="Arial" w:cs="Arial" w:eastAsia="Arial" w:hAnsi="Arial"/>
          <w:sz w:val="14"/>
          <w:szCs w:val="14"/>
          <w:color w:val="auto"/>
        </w:rPr>
        <w:t>The Exchange Agreement provides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Virtu Members will be permitted to participate in such offer by delivery of a notice of exchange that is effective immediately prior to the consummation of such offer. In the case of any such offer proposed by us, we are obligated to use our reasonable best efforts to enable and permit the Virtu Members to participate in such offer to the same extent or on an economically equivalent basis as the holders of shares of our Class A common stock without discrimination. In addition, we are obligated to use our reasonable best efforts to ensure that the Virtu Members may participate in each such offer without being required to exchange Virtu Financial Units and shares of our Class C common stock or Class D common stock.</w:t>
      </w:r>
    </w:p>
    <w:p>
      <w:pPr>
        <w:spacing w:after="0" w:line="151" w:lineRule="exact"/>
        <w:rPr>
          <w:sz w:val="20"/>
          <w:szCs w:val="20"/>
          <w:color w:val="auto"/>
        </w:rPr>
      </w:pPr>
    </w:p>
    <w:p>
      <w:pPr>
        <w:ind w:firstLine="295"/>
        <w:spacing w:after="0" w:line="279" w:lineRule="auto"/>
        <w:rPr>
          <w:sz w:val="20"/>
          <w:szCs w:val="20"/>
          <w:color w:val="auto"/>
        </w:rPr>
      </w:pPr>
      <w:r>
        <w:rPr>
          <w:rFonts w:ascii="Arial" w:cs="Arial" w:eastAsia="Arial" w:hAnsi="Arial"/>
          <w:sz w:val="14"/>
          <w:szCs w:val="14"/>
          <w:color w:val="auto"/>
        </w:rPr>
        <w:t>The Exchange Agreement also provides that, in the event of a merger, consolidation or other business combination involving us (unless, following such transaction, all or substantially all of the holders of the voting power of us prior to such transaction continue to hold a majority of the voting power of the surviving entity (or its parent) in substantially the same proportions as immediately prior to such transaction) is approved by our board of directors and consummated in accordance with applicable law, we may require that each of the Virtu Members exchange with us all of such Virtu Member's Virtu Financial Units and shares of our Class C common stock or Class D common stock, as applicable, for aggregate consideration for each Virtu Financial Unit and share of our Class C common stock or Class D common stock, as applicable, that is equivalent to the consideration payable in respect of each share of our Class A common stock in such transaction. Such Virtu Members are not required to participate in such a transaction that is tax-free for our stockholders unless the transaction is also tax-free for such Virtu Members as holders of Virtu Financial Units and shares of our Class C common stock or Class D common stock, as applicable.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Receivable Agreements</w:t>
      </w:r>
    </w:p>
    <w:p>
      <w:pPr>
        <w:spacing w:after="0" w:line="198" w:lineRule="exact"/>
        <w:rPr>
          <w:sz w:val="20"/>
          <w:szCs w:val="20"/>
          <w:color w:val="auto"/>
        </w:rPr>
      </w:pPr>
    </w:p>
    <w:p>
      <w:pPr>
        <w:ind w:right="60" w:firstLine="298"/>
        <w:spacing w:after="0" w:line="279" w:lineRule="auto"/>
        <w:rPr>
          <w:sz w:val="20"/>
          <w:szCs w:val="20"/>
          <w:color w:val="auto"/>
        </w:rPr>
      </w:pPr>
      <w:r>
        <w:rPr>
          <w:rFonts w:ascii="Arial" w:cs="Arial" w:eastAsia="Arial" w:hAnsi="Arial"/>
          <w:sz w:val="14"/>
          <w:szCs w:val="14"/>
          <w:color w:val="auto"/>
        </w:rPr>
        <w:t>In connection with the reorganization transactions, we acquired equity interests in Virtu Financial from certain affiliates of Silver Lake Partners and Temasek, as a result of a series of transactions (the "Mergers"). In addition, we used a portion of the net proceeds from our initial public offering to purchase Virtu Financial Units and corresponding shares of Class C common stock from certain direct or indirect equityholders of Virtu Financial. These purchases resulted in favorable tax basis adjustments to the assets of Virtu Financial that will be allocated to us and our subsidiaries. Future acquisitions of interests in Virtu Financial are expected to produce favorable tax attributes. In addition, future exchanges by certain direct or indirect equityholders of Virtu Financial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Both the existing and anticipated tax basis adjustments are expected to reduce the amount of tax that we would otherwise be required to pay in the future.</w:t>
      </w:r>
    </w:p>
    <w:p>
      <w:pPr>
        <w:spacing w:after="0" w:line="155" w:lineRule="exact"/>
        <w:rPr>
          <w:sz w:val="20"/>
          <w:szCs w:val="20"/>
          <w:color w:val="auto"/>
        </w:rPr>
      </w:pPr>
    </w:p>
    <w:p>
      <w:pPr>
        <w:ind w:firstLine="295"/>
        <w:spacing w:after="0" w:line="300" w:lineRule="auto"/>
        <w:rPr>
          <w:sz w:val="20"/>
          <w:szCs w:val="20"/>
          <w:color w:val="auto"/>
        </w:rPr>
      </w:pPr>
      <w:r>
        <w:rPr>
          <w:rFonts w:ascii="Arial" w:cs="Arial" w:eastAsia="Arial" w:hAnsi="Arial"/>
          <w:sz w:val="13"/>
          <w:szCs w:val="13"/>
          <w:color w:val="auto"/>
        </w:rPr>
        <w:t>We entered into three tax receivable agreements with certain direct or indirect equityholders of Virtu Financial (one with the Founder Member, Virtu Employee Holdco, the Employee Trust, certain management members and other post-initial public offering investors), another with affiliates of Silver Lake Partners and affiliates of Temasek, and the other with other affiliates of Silver Lake Partners, that provide for the payment by us to certain direct or indirect equityholders of Virtu Financial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an affiliate of Temasek, and another affiliate of Temasek (the "Temasek Member") in the reorganization transactions (which represents the unamortized portion of the increase in tax basis in Virtu Financial's assets resulting from a prior acquisition of interests in Virtu Financial by an affiliate of Silver Lake Partners and Temasek, and the Temasek Member, (b) the purchases of Virtu Financial Units (along with the corresponding shares of our Class C common stock or Class D common stock, as applicable) from certain direct or indirect equityholders of Virtu Financial using a portion of the net proceeds from our initial public offering or in any future offering, (c) exchanges by certain direct or indirect equityholders of Virtu Financial of Virtu Financial Units (together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142" w:lineRule="exact"/>
        <w:rPr>
          <w:sz w:val="20"/>
          <w:szCs w:val="20"/>
          <w:color w:val="auto"/>
        </w:rPr>
      </w:pPr>
    </w:p>
    <w:p>
      <w:pPr>
        <w:ind w:right="80" w:firstLine="295"/>
        <w:spacing w:after="0" w:line="325" w:lineRule="auto"/>
        <w:rPr>
          <w:sz w:val="20"/>
          <w:szCs w:val="20"/>
          <w:color w:val="auto"/>
        </w:rPr>
      </w:pPr>
      <w:r>
        <w:rPr>
          <w:rFonts w:ascii="Arial" w:cs="Arial" w:eastAsia="Arial" w:hAnsi="Arial"/>
          <w:sz w:val="13"/>
          <w:szCs w:val="13"/>
          <w:color w:val="auto"/>
        </w:rPr>
        <w:t>The actual increase in tax basis, as well as the amount and timing of any payments under these agreements, varies depending upon a number of factors, including the timing of exchanges by certain direct or indirect equityholders of Virtu Financial,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125" w:lineRule="exact"/>
        <w:rPr>
          <w:sz w:val="20"/>
          <w:szCs w:val="20"/>
          <w:color w:val="auto"/>
        </w:rPr>
      </w:pPr>
    </w:p>
    <w:p>
      <w:pPr>
        <w:ind w:right="160" w:firstLine="295"/>
        <w:spacing w:after="0" w:line="260" w:lineRule="auto"/>
        <w:rPr>
          <w:sz w:val="20"/>
          <w:szCs w:val="20"/>
          <w:color w:val="auto"/>
        </w:rPr>
      </w:pPr>
      <w:r>
        <w:rPr>
          <w:rFonts w:ascii="Arial" w:cs="Arial" w:eastAsia="Arial" w:hAnsi="Arial"/>
          <w:sz w:val="15"/>
          <w:szCs w:val="15"/>
          <w:color w:val="auto"/>
        </w:rPr>
        <w:t>The payments we are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certain direct or indirect equityholders of Virtu Financial are expected to aggregate to approximately $147.0 million, ranging from approximately $0.3 million to $12.8 million per year over the next 15 years. Such payments will occur only after we have filed our U.S. federal and state income tax returns and realized the cash tax savings from the favorable tax attributes. Future payments under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tax receivable agreements in respect of subsequent exchanges would be in addition to these amounts and are expected to be substantial. The payments under the tax receivable agreements are not conditioned upon the certain direct or indirect equityholders of Virtu Financial's continued ownership of us.</w:t>
      </w:r>
    </w:p>
    <w:p>
      <w:pPr>
        <w:spacing w:after="0" w:line="151" w:lineRule="exact"/>
        <w:rPr>
          <w:sz w:val="20"/>
          <w:szCs w:val="20"/>
          <w:color w:val="auto"/>
        </w:rPr>
      </w:pPr>
    </w:p>
    <w:p>
      <w:pPr>
        <w:ind w:right="60" w:firstLine="298"/>
        <w:spacing w:after="0" w:line="259" w:lineRule="auto"/>
        <w:rPr>
          <w:sz w:val="20"/>
          <w:szCs w:val="20"/>
          <w:color w:val="auto"/>
        </w:rPr>
      </w:pPr>
      <w:r>
        <w:rPr>
          <w:rFonts w:ascii="Arial" w:cs="Arial" w:eastAsia="Arial" w:hAnsi="Arial"/>
          <w:sz w:val="15"/>
          <w:szCs w:val="15"/>
          <w:color w:val="auto"/>
        </w:rPr>
        <w:t>In addition, although we are not aware of any issue that would cause the IRS to challenge the tax basis increases or other benefits arising under the tax receivable agreements, certain direct or indirect equityholders of Virtu Financial (or their transferees or other assignees) will not reimburse us for any payments previously made if such tax basis increases or other tax benefits are subsequently disallowed, except that any excess payments made to certain direct or indirect equityholders of Virtu Financial will be netted against future payments otherwise to be made under the tax receivable agreements, if any, after our determination of such excess. As a result, in such circumstances we could make payments to certain direct or indirect equityholders of Virtu Financial under the tax receivable agreements that are greater than our actual cash tax savings and may not be able to recoup those payments, which could negatively impact our liquidity.</w:t>
      </w:r>
    </w:p>
    <w:p>
      <w:pPr>
        <w:spacing w:after="0" w:line="165" w:lineRule="exact"/>
        <w:rPr>
          <w:sz w:val="20"/>
          <w:szCs w:val="20"/>
          <w:color w:val="auto"/>
        </w:rPr>
      </w:pPr>
    </w:p>
    <w:p>
      <w:pPr>
        <w:ind w:firstLine="298"/>
        <w:spacing w:after="0" w:line="314" w:lineRule="auto"/>
        <w:rPr>
          <w:sz w:val="20"/>
          <w:szCs w:val="20"/>
          <w:color w:val="auto"/>
        </w:rPr>
      </w:pPr>
      <w:r>
        <w:rPr>
          <w:rFonts w:ascii="Arial" w:cs="Arial" w:eastAsia="Arial" w:hAnsi="Arial"/>
          <w:sz w:val="13"/>
          <w:szCs w:val="13"/>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p>
    <w:p>
      <w:pPr>
        <w:spacing w:after="0" w:line="133" w:lineRule="exact"/>
        <w:rPr>
          <w:sz w:val="20"/>
          <w:szCs w:val="20"/>
          <w:color w:val="auto"/>
        </w:rPr>
      </w:pPr>
    </w:p>
    <w:p>
      <w:pPr>
        <w:ind w:firstLine="298"/>
        <w:spacing w:after="0" w:line="278" w:lineRule="auto"/>
        <w:rPr>
          <w:sz w:val="20"/>
          <w:szCs w:val="20"/>
          <w:color w:val="auto"/>
        </w:rPr>
      </w:pPr>
      <w:r>
        <w:rPr>
          <w:rFonts w:ascii="Arial" w:cs="Arial" w:eastAsia="Arial" w:hAnsi="Arial"/>
          <w:sz w:val="14"/>
          <w:szCs w:val="14"/>
          <w:color w:val="auto"/>
        </w:rPr>
        <w:t>In addition, the tax receivable agreements provide that in the case of a change in control of the Company, certain direct or indirect equityholders of Virtu Financial have the option to terminate the applicable tax receivable agreement, and we will be required to make a payment to such electing party in an amount equal to the present value of future payments (calculated using a discount rate equal to the lesser of 6.5% or LIBOR plus 100 basis points, which may differ from our, or a potential acquirer's, then-current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certain direct or indirect equityholders of Virtu Financial have interests that differ from or are in addition to those of our other stockholders. In addition, we could be required to make payments under the tax receivable agreements that are substantial and in excess of our, or a potential acquirer's, actual cash savings in income tax.</w:t>
      </w:r>
    </w:p>
    <w:p>
      <w:pPr>
        <w:spacing w:after="0" w:line="156" w:lineRule="exact"/>
        <w:rPr>
          <w:sz w:val="20"/>
          <w:szCs w:val="20"/>
          <w:color w:val="auto"/>
        </w:rPr>
      </w:pPr>
    </w:p>
    <w:p>
      <w:pPr>
        <w:ind w:firstLine="298"/>
        <w:spacing w:after="0" w:line="325" w:lineRule="auto"/>
        <w:rPr>
          <w:sz w:val="20"/>
          <w:szCs w:val="20"/>
          <w:color w:val="auto"/>
        </w:rPr>
      </w:pPr>
      <w:r>
        <w:rPr>
          <w:rFonts w:ascii="Arial" w:cs="Arial" w:eastAsia="Arial" w:hAnsi="Arial"/>
          <w:sz w:val="13"/>
          <w:szCs w:val="13"/>
          <w:color w:val="auto"/>
        </w:rPr>
        <w:t>Finally, because we are a holding company with no operations of our own, our ability to make payments under the tax receivable agreements is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p>
    <w:p>
      <w:pPr>
        <w:spacing w:after="0" w:line="125" w:lineRule="exact"/>
        <w:rPr>
          <w:sz w:val="20"/>
          <w:szCs w:val="20"/>
          <w:color w:val="auto"/>
        </w:rPr>
      </w:pPr>
    </w:p>
    <w:p>
      <w:pPr>
        <w:ind w:right="360" w:firstLine="295"/>
        <w:spacing w:after="0" w:line="277" w:lineRule="auto"/>
        <w:rPr>
          <w:sz w:val="20"/>
          <w:szCs w:val="20"/>
          <w:color w:val="auto"/>
        </w:rPr>
      </w:pPr>
      <w:r>
        <w:rPr>
          <w:rFonts w:ascii="Arial" w:cs="Arial" w:eastAsia="Arial" w:hAnsi="Arial"/>
          <w:sz w:val="15"/>
          <w:szCs w:val="15"/>
          <w:color w:val="auto"/>
        </w:rPr>
        <w:t>We made our first payment of $7.0 million in February 2017, and our second payment of $12.4 million in September 2018. During the year ended December 31, 2018, an affiliate of Temasek received $2.6 million and an affiliate of a former stockholder received $7.0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198" w:lineRule="exact"/>
        <w:rPr>
          <w:sz w:val="20"/>
          <w:szCs w:val="20"/>
          <w:color w:val="auto"/>
        </w:rPr>
      </w:pPr>
    </w:p>
    <w:p>
      <w:pPr>
        <w:jc w:val="both"/>
        <w:ind w:right="20" w:firstLine="295"/>
        <w:spacing w:after="0" w:line="277" w:lineRule="auto"/>
        <w:rPr>
          <w:sz w:val="20"/>
          <w:szCs w:val="20"/>
          <w:color w:val="auto"/>
        </w:rPr>
      </w:pPr>
      <w:r>
        <w:rPr>
          <w:rFonts w:ascii="Arial" w:cs="Arial" w:eastAsia="Arial" w:hAnsi="Arial"/>
          <w:sz w:val="15"/>
          <w:szCs w:val="15"/>
          <w:color w:val="auto"/>
        </w:rPr>
        <w:t>We entered into an indemnification agreement with each of our executive officers and directors that provides, in general, that we will indemnify them to the fullest extent permitted by law in connection with their service to us or on our behalf.</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Agreements Entered into in Connection with the Acquisition of KCG Holdings, Inc.</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Investment Agreements</w:t>
      </w:r>
    </w:p>
    <w:p>
      <w:pPr>
        <w:spacing w:after="0" w:line="198" w:lineRule="exact"/>
        <w:rPr>
          <w:sz w:val="20"/>
          <w:szCs w:val="20"/>
          <w:color w:val="auto"/>
        </w:rPr>
      </w:pPr>
    </w:p>
    <w:p>
      <w:pPr>
        <w:jc w:val="both"/>
        <w:ind w:right="40" w:firstLine="298"/>
        <w:spacing w:after="0" w:line="286" w:lineRule="auto"/>
        <w:rPr>
          <w:sz w:val="20"/>
          <w:szCs w:val="20"/>
          <w:color w:val="auto"/>
        </w:rPr>
      </w:pPr>
      <w:r>
        <w:rPr>
          <w:rFonts w:ascii="Arial" w:cs="Arial" w:eastAsia="Arial" w:hAnsi="Arial"/>
          <w:sz w:val="14"/>
          <w:szCs w:val="14"/>
          <w:color w:val="auto"/>
        </w:rPr>
        <w:t>In connection with financing the Acquisition of KCG Holdings, Inc. on July 20, 2017, on April 20, 2017, the Company entered into investment agreements with each of NIH (as amended and restated on June 23, 2017, the "NIH Investment Agreement") and Aranda Investments Pte. Ltd. (an affiliate of Temasek) (the "Temasek Investment Agreement", and together with the NIH Investment Agreement, the "Investment Agreements"). Pursuant to the Investment Agreements, the Company issued Class A common stock to each of Aranda (the "Temasek Investment") and NIH (the "NIH Investment"), each in private placement transactions exempt from the registration requirements of the Securities Act.</w:t>
      </w:r>
    </w:p>
    <w:p>
      <w:pPr>
        <w:spacing w:after="0" w:line="148" w:lineRule="exact"/>
        <w:rPr>
          <w:sz w:val="20"/>
          <w:szCs w:val="20"/>
          <w:color w:val="auto"/>
        </w:rPr>
      </w:pPr>
    </w:p>
    <w:p>
      <w:pPr>
        <w:ind w:firstLine="295"/>
        <w:spacing w:after="0" w:line="278" w:lineRule="auto"/>
        <w:rPr>
          <w:sz w:val="20"/>
          <w:szCs w:val="20"/>
          <w:color w:val="auto"/>
        </w:rPr>
      </w:pPr>
      <w:r>
        <w:rPr>
          <w:rFonts w:ascii="Arial" w:cs="Arial" w:eastAsia="Arial" w:hAnsi="Arial"/>
          <w:sz w:val="14"/>
          <w:szCs w:val="14"/>
          <w:color w:val="auto"/>
        </w:rPr>
        <w:t>The NIH Investment Agreement provides NIH with certain board nomination rights determined based on the percentage of the Company's Class A common stock beneficially owned by NIH as of the closing of the NIH Investment. On July 20, 2017, pursuant to the NIH Investment Agreement, the Company's Executive Chairman and Founder, Vincent J. Viola, resigned as Executive Chairman and was appointed as Chairman Emeritus, Robert Greifeld was appointed as the new Chairman and Glenn Hutchins was appointed as a member of the Company's board of directors. Additionally, for so long as NIH beneficially owns at least 50% of its shares of the Company's Class A common stock held as of the closing of the NIH Investment, NIH is entitled to nominate two directors to serve on the Company's board of directors. When NIH beneficially owns less than 50% but at least 25% of its shares of the Company's Class A common stock held as of the closing of the NIH Investment, NIH is entitled to nominate one director. In addition, for so long as NIH is entitled to nominate one director, NIH is entitled to certain pre-emptive rights with respect to issuances of the Company's equity securities, subject to customary exceptions, based on the percentage of the Company's Class A common stock owned by NIH at the time of such issuance. The NIH Investment Agreement also provides NIH with certain information rights determined based on the percentage of the Company's Class A common stock beneficially owned by NIH as of the closing of the NIH Investment.</w:t>
      </w:r>
    </w:p>
    <w:p>
      <w:pPr>
        <w:spacing w:after="0" w:line="153" w:lineRule="exact"/>
        <w:rPr>
          <w:sz w:val="20"/>
          <w:szCs w:val="20"/>
          <w:color w:val="auto"/>
        </w:rPr>
      </w:pPr>
    </w:p>
    <w:p>
      <w:pPr>
        <w:ind w:right="220" w:firstLine="295"/>
        <w:spacing w:after="0" w:line="277" w:lineRule="auto"/>
        <w:rPr>
          <w:sz w:val="20"/>
          <w:szCs w:val="20"/>
          <w:color w:val="auto"/>
        </w:rPr>
      </w:pPr>
      <w:r>
        <w:rPr>
          <w:rFonts w:ascii="Arial" w:cs="Arial" w:eastAsia="Arial" w:hAnsi="Arial"/>
          <w:sz w:val="15"/>
          <w:szCs w:val="15"/>
          <w:color w:val="auto"/>
        </w:rPr>
        <w:t>The Temasek Investment Agreement provides that, among other things, Aranda is entitled to certain board nomination rights, for so long as Aranda and its affiliates beneficially own at least 25% of its shares of Class A common stock held as of the closing of the Temasek Investment.</w:t>
      </w:r>
    </w:p>
    <w:p>
      <w:pPr>
        <w:spacing w:after="0" w:line="151" w:lineRule="exact"/>
        <w:rPr>
          <w:sz w:val="20"/>
          <w:szCs w:val="20"/>
          <w:color w:val="auto"/>
        </w:rPr>
      </w:pPr>
    </w:p>
    <w:p>
      <w:pPr>
        <w:ind w:right="20" w:firstLine="295"/>
        <w:spacing w:after="0" w:line="262" w:lineRule="auto"/>
        <w:rPr>
          <w:sz w:val="20"/>
          <w:szCs w:val="20"/>
          <w:color w:val="auto"/>
        </w:rPr>
      </w:pPr>
      <w:r>
        <w:rPr>
          <w:rFonts w:ascii="Arial" w:cs="Arial" w:eastAsia="Arial" w:hAnsi="Arial"/>
          <w:sz w:val="15"/>
          <w:szCs w:val="15"/>
          <w:color w:val="auto"/>
        </w:rPr>
        <w:t>The summary of the NIH Investment Agreement is qualified in its entirety by the complete text of the NIH Investment Agreement, filed by the Company with the SEC on August 9, 2017, as an exhibit to the Company's Quarterly Report on Form 10-Q for the quarterly period ended June 30, 2017. The summary of the Temasek Investment Agreement is qualified in its entirety by the complete text of the Temasek Investment Agreement, filed by the Company with the SEC on May 10, 2017, as an exhibit to the Company's Quarterly Report on Form 10-Q for the quarterly period ended March 31, 2017.</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Stockholders Agreement</w:t>
      </w:r>
    </w:p>
    <w:p>
      <w:pPr>
        <w:spacing w:after="0" w:line="198" w:lineRule="exact"/>
        <w:rPr>
          <w:sz w:val="20"/>
          <w:szCs w:val="20"/>
          <w:color w:val="auto"/>
        </w:rPr>
      </w:pPr>
    </w:p>
    <w:p>
      <w:pPr>
        <w:ind w:right="20" w:firstLine="298"/>
        <w:spacing w:after="0" w:line="265" w:lineRule="auto"/>
        <w:rPr>
          <w:sz w:val="20"/>
          <w:szCs w:val="20"/>
          <w:color w:val="auto"/>
        </w:rPr>
      </w:pPr>
      <w:r>
        <w:rPr>
          <w:rFonts w:ascii="Arial" w:cs="Arial" w:eastAsia="Arial" w:hAnsi="Arial"/>
          <w:sz w:val="15"/>
          <w:szCs w:val="15"/>
          <w:color w:val="auto"/>
        </w:rPr>
        <w:t>In connection with entering into the Temasek Investment Agreement and NIH Investment Agreement, on April 20, 2017, the Company entered into a Stockholders Agreement (the "Stockholders Agreement") with the Founder Member, Temasek, Havelock Fund Investments Pte Ltd. (an affiliate of Temasek) ("Havelock" and, together with Aranda, the "Temasek Entities") and NIH. The Stockholders Agreement became effective on July 20, 2017.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0" w:firstLine="298"/>
        <w:spacing w:after="0" w:line="314" w:lineRule="auto"/>
        <w:rPr>
          <w:sz w:val="20"/>
          <w:szCs w:val="20"/>
          <w:color w:val="auto"/>
        </w:rPr>
      </w:pPr>
      <w:r>
        <w:rPr>
          <w:rFonts w:ascii="Arial" w:cs="Arial" w:eastAsia="Arial" w:hAnsi="Arial"/>
          <w:sz w:val="13"/>
          <w:szCs w:val="13"/>
          <w:color w:val="auto"/>
        </w:rPr>
        <w:t>Under the Stockholders Agreement, the Founder Member has agreed to take all necessary action, including voting all of its shares of capital stock of the Company or providing written consent to cause the election of the directors nominated by NIH pursuant to the NIH Investment Agreement and in accordance with the terms of the Stockholders Agreement. To the extent the Founder Member transfers any of its shares to an affiliated transferee, that transferee would also be bound by the terms of the Stockholders Agreement. The Founder Member's obligations pursuant to NIH's director nomination right will automatically terminate upon the termination of NIH's right to appoint directors pursuant to the NIH Investment Agreement.</w:t>
      </w:r>
    </w:p>
    <w:p>
      <w:pPr>
        <w:spacing w:after="0" w:line="133" w:lineRule="exact"/>
        <w:rPr>
          <w:sz w:val="20"/>
          <w:szCs w:val="20"/>
          <w:color w:val="auto"/>
        </w:rPr>
      </w:pPr>
    </w:p>
    <w:p>
      <w:pPr>
        <w:ind w:right="320" w:firstLine="295"/>
        <w:spacing w:after="0" w:line="314" w:lineRule="auto"/>
        <w:rPr>
          <w:sz w:val="20"/>
          <w:szCs w:val="20"/>
          <w:color w:val="auto"/>
        </w:rPr>
      </w:pPr>
      <w:r>
        <w:rPr>
          <w:rFonts w:ascii="Arial" w:cs="Arial" w:eastAsia="Arial" w:hAnsi="Arial"/>
          <w:sz w:val="14"/>
          <w:szCs w:val="14"/>
          <w:color w:val="auto"/>
        </w:rPr>
        <w:t xml:space="preserve">The Stockholders Agreement also grants the Temasek Entities and NIH with tag-along rights, subject to customary exceptions, in connection with a transfer of shares by the Founder Member that are subject to cutback provisions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(in each case calculated based on a fully exchanged and converted to Class A common stock basis).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Amended and Restated Registration Rights Agreement</w:t>
      </w:r>
    </w:p>
    <w:p>
      <w:pPr>
        <w:spacing w:after="0" w:line="198" w:lineRule="exact"/>
        <w:rPr>
          <w:sz w:val="20"/>
          <w:szCs w:val="20"/>
          <w:color w:val="auto"/>
        </w:rPr>
      </w:pPr>
    </w:p>
    <w:p>
      <w:pPr>
        <w:ind w:right="60" w:firstLine="298"/>
        <w:spacing w:after="0" w:line="314" w:lineRule="auto"/>
        <w:rPr>
          <w:sz w:val="20"/>
          <w:szCs w:val="20"/>
          <w:color w:val="auto"/>
        </w:rPr>
      </w:pPr>
      <w:r>
        <w:rPr>
          <w:rFonts w:ascii="Arial" w:cs="Arial" w:eastAsia="Arial" w:hAnsi="Arial"/>
          <w:sz w:val="13"/>
          <w:szCs w:val="13"/>
          <w:color w:val="auto"/>
        </w:rPr>
        <w:t>On April 15, 2015, prior to the consummation of the Company's initial public offering, the Company entered into a Registration Rights Agreement with the Founder Member, Havelock and certain direct or indirect or equityholders of the Company that granted the parties certain demand and registration rights. In connection with Temasek Investment and the NIH Investment, on April 20, 2017, the Company and the parties thereto executed the Amended and Restated Registration Rights Agreement (the "Amended and Restated Registration Rights Agreement") to add NIH and Temasek as parties and provide them with similar registration rights as Havelock. The Amended and Restated Registration Rights Agreement became effective on July 20, 2017.</w:t>
      </w:r>
    </w:p>
    <w:p>
      <w:pPr>
        <w:spacing w:after="0" w:line="133" w:lineRule="exact"/>
        <w:rPr>
          <w:sz w:val="20"/>
          <w:szCs w:val="20"/>
          <w:color w:val="auto"/>
        </w:rPr>
      </w:pPr>
    </w:p>
    <w:p>
      <w:pPr>
        <w:ind w:right="20" w:firstLine="298"/>
        <w:spacing w:after="0" w:line="304" w:lineRule="auto"/>
        <w:rPr>
          <w:sz w:val="20"/>
          <w:szCs w:val="20"/>
          <w:color w:val="auto"/>
        </w:rPr>
      </w:pPr>
      <w:r>
        <w:rPr>
          <w:rFonts w:ascii="Arial" w:cs="Arial" w:eastAsia="Arial" w:hAnsi="Arial"/>
          <w:sz w:val="13"/>
          <w:szCs w:val="13"/>
          <w:color w:val="auto"/>
        </w:rPr>
        <w:t>Subject to several exceptions, including certain specified underwriter cutbacks and the Company's right to defer a demand registration under certain circumstances, the Founder Member, the Temasek Entities and NIH may require that the Company register for public resale under the Securities Act all common stock of the Company constituting registrable securities that they request be registered at any time so long as the securities requested to be registered in each registration statement have an aggregate estimated market value of least $50 million. Under the Amended and Restated Registration Rights Agreement, the Company is not obligated to effectuate more than seven demand registrations for the Founder Member, more than four demand registrations for NIH or more than three demand registrations for the Temasek Entities. The Founder Member, the Temasek Entities and NIH also have the right to require the Company to register the sale of the registrable securities held by them on Form S-3, subject to offering size and other restrictions. In addition, the Company is required to file a shelf registration statement for the registrable securities, and cause such shelf registration statement to become effective within one year after the earlier of the closing of the Temasek Investment and the NIH Investment.</w:t>
      </w:r>
    </w:p>
    <w:p>
      <w:pPr>
        <w:spacing w:after="0" w:line="139" w:lineRule="exact"/>
        <w:rPr>
          <w:sz w:val="20"/>
          <w:szCs w:val="20"/>
          <w:color w:val="auto"/>
        </w:rPr>
      </w:pPr>
    </w:p>
    <w:p>
      <w:pPr>
        <w:ind w:firstLine="298"/>
        <w:spacing w:after="0" w:line="314" w:lineRule="auto"/>
        <w:rPr>
          <w:sz w:val="20"/>
          <w:szCs w:val="20"/>
          <w:color w:val="auto"/>
        </w:rPr>
      </w:pPr>
      <w:r>
        <w:rPr>
          <w:rFonts w:ascii="Arial" w:cs="Arial" w:eastAsia="Arial" w:hAnsi="Arial"/>
          <w:sz w:val="13"/>
          <w:szCs w:val="13"/>
          <w:color w:val="auto"/>
        </w:rPr>
        <w:t>If the Founder Member, the Temasek Entities or NIH make a request for registration, the non-requesting parties to the Amended and Restated Registration Rights Agreement are entitled to piggyback registration rights in connection with the request. If such request is for an underwritten offering, the piggyback registration rights are subject to underwriter cutback provisions. In addition, the parties to the Amended and Restated Registration Rights Agreement are entitled to piggyback registration rights with respect to any registration initiated by the Company or another stockholder, and if any such registration is in the form of an underwritten offering, such piggyback registration rights are subject to underwriter cutback provisions.</w:t>
      </w:r>
    </w:p>
    <w:p>
      <w:pPr>
        <w:spacing w:after="0" w:line="133" w:lineRule="exact"/>
        <w:rPr>
          <w:sz w:val="20"/>
          <w:szCs w:val="20"/>
          <w:color w:val="auto"/>
        </w:rPr>
      </w:pPr>
    </w:p>
    <w:p>
      <w:pPr>
        <w:jc w:val="both"/>
        <w:ind w:right="380" w:firstLine="298"/>
        <w:spacing w:after="0" w:line="265" w:lineRule="auto"/>
        <w:rPr>
          <w:sz w:val="20"/>
          <w:szCs w:val="20"/>
          <w:color w:val="auto"/>
        </w:rPr>
      </w:pPr>
      <w:r>
        <w:rPr>
          <w:rFonts w:ascii="Arial" w:cs="Arial" w:eastAsia="Arial" w:hAnsi="Arial"/>
          <w:sz w:val="15"/>
          <w:szCs w:val="15"/>
          <w:color w:val="auto"/>
        </w:rPr>
        <w:t>Pursuant to the Amended and Restated Registration Rights Agreement, NIH will have no registration rights until after the first anniversary of the closing of the NIH Investment and during such period NIH shall be deemed to be an Excluded Party (as defined in the Amended and Restated Registration Rights Agreement) in connection with certain cutback provisions (unless the Founder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Member exercises its registration rights under the Amended and Restated Registration Rights Agreement, in which case NIH will have the right to exercise its registration rights).</w:t>
      </w:r>
    </w:p>
    <w:p>
      <w:pPr>
        <w:spacing w:after="0" w:line="205"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In connection with the registrations described above, the Company is required to indemnify any selling stockholders and the Company will bear all fees, costs and expenses (except underwriting commissions and discounts and fees and expenses of the selling stockholders and their internal and similar costs (other than the fees and expense of a single law firm representing the selling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Secondary Offerings</w:t>
      </w:r>
    </w:p>
    <w:p>
      <w:pPr>
        <w:spacing w:after="0" w:line="198" w:lineRule="exact"/>
        <w:rPr>
          <w:sz w:val="20"/>
          <w:szCs w:val="20"/>
          <w:color w:val="auto"/>
        </w:rPr>
      </w:pPr>
    </w:p>
    <w:p>
      <w:pPr>
        <w:ind w:firstLine="298"/>
        <w:spacing w:after="0" w:line="300" w:lineRule="auto"/>
        <w:rPr>
          <w:sz w:val="20"/>
          <w:szCs w:val="20"/>
          <w:color w:val="auto"/>
        </w:rPr>
      </w:pPr>
      <w:r>
        <w:rPr>
          <w:rFonts w:ascii="Arial" w:cs="Arial" w:eastAsia="Arial" w:hAnsi="Arial"/>
          <w:sz w:val="13"/>
          <w:szCs w:val="13"/>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the Founder Member pursuant to that certain Member Purchase Agreement, entered into on May 15, 2018 by and between the Company and the Founder Member. The selling stockholders sold 6,731,250 shares of Class A common stock in the May 2018 Secondary Offering, including 2,081,250 shares of Class A common stock issued by the Company upon the exercise of vested stock options. The May 2018 Secondary Offering was registered under the Securities Act pursuant to a registration statement on Form S-3ASR (File No. 333-224683) filed with the SEC on May 4, 2018. The terms of the May 2018 Secondary Offering are described in a Prospectus dated May 8, 2018, as supplemented by a Prospectus Supplement dated May 10, 2018 (filed with the SEC on May 11, 2018). Pursuant to the Amended and Restated Registration Rights Agreement, the Company agreed to indemnify the selling stockholders (which include the Founder Member, Mr. Vincent Viola and Havelock) against certain liabilities and to pay certain expenses of the selling stockholders incurred in connection with the sale of Class A common stock in the May 2018 Secondary Offering, excluding underwriters' discounts and commissions. In connection with the May 2018 Secondary Offering, the Company paid $710,097.53 in fees and related expenses.</w:t>
      </w:r>
    </w:p>
    <w:p>
      <w:pPr>
        <w:spacing w:after="0" w:line="142" w:lineRule="exact"/>
        <w:rPr>
          <w:sz w:val="20"/>
          <w:szCs w:val="20"/>
          <w:color w:val="auto"/>
        </w:rPr>
      </w:pPr>
    </w:p>
    <w:p>
      <w:pPr>
        <w:ind w:right="200" w:firstLine="298"/>
        <w:spacing w:after="0" w:line="356" w:lineRule="auto"/>
        <w:rPr>
          <w:sz w:val="20"/>
          <w:szCs w:val="20"/>
          <w:color w:val="auto"/>
        </w:rPr>
      </w:pPr>
      <w:r>
        <w:rPr>
          <w:rFonts w:ascii="Arial" w:cs="Arial" w:eastAsia="Arial" w:hAnsi="Arial"/>
          <w:sz w:val="13"/>
          <w:szCs w:val="13"/>
          <w:color w:val="auto"/>
        </w:rPr>
        <w:t>In connection with the May 2018 Secondary Offering, the Company, the Founder Member, NIH, Havelock and Aranda entered into that certain Amendment No. 1 to the Amended and Restated Registration Rights Agreement to, among other things, add Mr. Vincent Viola and Mr. Michael Viola as parties to the Amended and Restated Registration Rights Agreement.</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Transactions</w:t>
      </w:r>
    </w:p>
    <w:p>
      <w:pPr>
        <w:spacing w:after="0" w:line="198" w:lineRule="exact"/>
        <w:rPr>
          <w:sz w:val="20"/>
          <w:szCs w:val="20"/>
          <w:color w:val="auto"/>
        </w:rPr>
      </w:pPr>
    </w:p>
    <w:p>
      <w:pPr>
        <w:ind w:firstLine="295"/>
        <w:spacing w:after="0" w:line="277" w:lineRule="auto"/>
        <w:rPr>
          <w:sz w:val="20"/>
          <w:szCs w:val="20"/>
          <w:color w:val="auto"/>
        </w:rPr>
      </w:pPr>
      <w:r>
        <w:rPr>
          <w:rFonts w:ascii="Arial" w:cs="Arial" w:eastAsia="Arial" w:hAnsi="Arial"/>
          <w:sz w:val="15"/>
          <w:szCs w:val="15"/>
          <w:color w:val="auto"/>
        </w:rPr>
        <w:t>The Company purchases network connections services from affiliates of Level 3 Communications ("Level 3"). Temasek has a significant ownership interest in Level 3. For the year ended December 31, 2018, the Company paid $1.5 million to Level 3 for these services.</w:t>
      </w:r>
    </w:p>
    <w:p>
      <w:pPr>
        <w:spacing w:after="0" w:line="151" w:lineRule="exact"/>
        <w:rPr>
          <w:sz w:val="20"/>
          <w:szCs w:val="20"/>
          <w:color w:val="auto"/>
        </w:rPr>
      </w:pPr>
    </w:p>
    <w:p>
      <w:pPr>
        <w:ind w:right="40" w:firstLine="295"/>
        <w:spacing w:after="0" w:line="277" w:lineRule="auto"/>
        <w:rPr>
          <w:sz w:val="20"/>
          <w:szCs w:val="20"/>
          <w:color w:val="auto"/>
        </w:rPr>
      </w:pPr>
      <w:r>
        <w:rPr>
          <w:rFonts w:ascii="Arial" w:cs="Arial" w:eastAsia="Arial" w:hAnsi="Arial"/>
          <w:sz w:val="15"/>
          <w:szCs w:val="15"/>
          <w:color w:val="auto"/>
        </w:rPr>
        <w:t>The Company purchases and leases computer equipment and maintenance and support from affiliates of Dell Inc. ("Dell"). Temasek and its affiliates have a significant ownership interest in Dell. For the year ended December 31, 2018, the Company paid $0.8 million to Dell for these purchases and leases.</w:t>
      </w:r>
    </w:p>
    <w:p>
      <w:pPr>
        <w:spacing w:after="0" w:line="151" w:lineRule="exact"/>
        <w:rPr>
          <w:sz w:val="20"/>
          <w:szCs w:val="20"/>
          <w:color w:val="auto"/>
        </w:rPr>
      </w:pPr>
    </w:p>
    <w:p>
      <w:pPr>
        <w:ind w:right="100" w:firstLine="295"/>
        <w:spacing w:after="0" w:line="277" w:lineRule="auto"/>
        <w:rPr>
          <w:sz w:val="20"/>
          <w:szCs w:val="20"/>
          <w:color w:val="auto"/>
        </w:rPr>
      </w:pPr>
      <w:r>
        <w:rPr>
          <w:rFonts w:ascii="Arial" w:cs="Arial" w:eastAsia="Arial" w:hAnsi="Arial"/>
          <w:sz w:val="15"/>
          <w:szCs w:val="15"/>
          <w:color w:val="auto"/>
        </w:rPr>
        <w:t>The Company purchases market data and software licenses from affiliates of Markit Group Holdings Limited ("MarkIt"). Temasek has a significant ownership interest in MarkIt. For the year ended December 31, 2018, the Company paid $0.4 million to MarkIt for these services.</w:t>
      </w:r>
    </w:p>
    <w:p>
      <w:pPr>
        <w:spacing w:after="0" w:line="151" w:lineRule="exact"/>
        <w:rPr>
          <w:sz w:val="20"/>
          <w:szCs w:val="20"/>
          <w:color w:val="auto"/>
        </w:rPr>
      </w:pPr>
    </w:p>
    <w:p>
      <w:pPr>
        <w:ind w:right="480" w:firstLine="295"/>
        <w:spacing w:after="0" w:line="325" w:lineRule="auto"/>
        <w:rPr>
          <w:sz w:val="20"/>
          <w:szCs w:val="20"/>
          <w:color w:val="auto"/>
        </w:rPr>
      </w:pPr>
      <w:r>
        <w:rPr>
          <w:rFonts w:ascii="Arial" w:cs="Arial" w:eastAsia="Arial" w:hAnsi="Arial"/>
          <w:sz w:val="13"/>
          <w:szCs w:val="13"/>
          <w:color w:val="auto"/>
        </w:rPr>
        <w:t>The Company provides brokerage services to The Vanguard Group, Inc. ("Vanguard"). As noted in footnote 6 to the beneficial ownership table on page 38 of this proxy statement, according to the Schedule 13G filed by Vanguard on May 15, 2018, Vanguard may have been deemed to have shared voting and dispositive power over more than five percent of the Company's then-issued and outstanding Class A common shares. For the year ended December 31, 2018, the Company received $1.0 million from Vanguard for these services.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198" w:lineRule="exact"/>
        <w:rPr>
          <w:sz w:val="20"/>
          <w:szCs w:val="20"/>
          <w:color w:val="auto"/>
        </w:rPr>
      </w:pPr>
    </w:p>
    <w:p>
      <w:pPr>
        <w:ind w:firstLine="298"/>
        <w:spacing w:after="0" w:line="301" w:lineRule="auto"/>
        <w:rPr>
          <w:sz w:val="20"/>
          <w:szCs w:val="20"/>
          <w:color w:val="auto"/>
        </w:rPr>
      </w:pPr>
      <w:r>
        <w:rPr>
          <w:rFonts w:ascii="Arial" w:cs="Arial" w:eastAsia="Arial" w:hAnsi="Arial"/>
          <w:sz w:val="13"/>
          <w:szCs w:val="13"/>
          <w:color w:val="auto"/>
        </w:rPr>
        <w:t>Section 16(a) of the Exchange Act requires our directors, executive officers and persons who own more than 10% of a registered class of the Company's equity securities (collectively, the "Reporting Persons"), to file with the SEC initial reports of stock ownership and reports of changes in ownership of common stock and other equity securities of the Company. All Reporting Persons are required by SEC regulations to furnish the Company with copies of all Section 16(a) forms they file.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fiscal 2018, except that (i) a Form 4 of Mr. Molluso reporting the vesting on December 31, 2018 of 15,148 RSUs and corresponding issuance of 7,085 shares of Class A common stock, net of withholding for taxes, was filed on January 25, 2019, (ii) a Form 4 of Mr. Michael Viola reporting the vesting on December 31, 2018 of 2,345 RSUs and corresponding issuance of 2,345 shares of Class A common stock was filed on January 25, 2019, (iii) a Form 4 of Mr. Cavoli reporting the vesting on August 24, 2018 of 23,441 RSUs and corresponding issuance of 15,478 shares of Class A common stock, net of withholding for taxes, was filed on August 31, 2018 and (iv) a Form 4 of Virtu Employee Holdco reporting the disposition of 824,965 shares of Class C common stock and corresponding Virtu Financial Units was filed late on April 19, 2019, in each case due to administrative oversight.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List of Stockholders of Record</w:t>
      </w:r>
    </w:p>
    <w:p>
      <w:pPr>
        <w:spacing w:after="0" w:line="198"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In accordance with Delaware law, a list of the names of our stockholders of record entitled to vote at the Annual Meeting will be available for 10 days prior to the Annual Meeting for any purpose germane to the meeting, between the hours of 8:30 a.m. and 4:30 p.m. local time at our principal executive offices at One Liberty Plaza, 165 Broadway, New York, New York 10006. This list will also be available at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Submission of Stockholder Proposals at Next Year's Annual Meeting</w:t>
      </w:r>
    </w:p>
    <w:p>
      <w:pPr>
        <w:spacing w:after="0" w:line="198" w:lineRule="exact"/>
        <w:rPr>
          <w:sz w:val="20"/>
          <w:szCs w:val="20"/>
          <w:color w:val="auto"/>
        </w:rPr>
      </w:pPr>
    </w:p>
    <w:p>
      <w:pPr>
        <w:ind w:right="180" w:firstLine="295"/>
        <w:spacing w:after="0" w:line="293" w:lineRule="auto"/>
        <w:rPr>
          <w:sz w:val="20"/>
          <w:szCs w:val="20"/>
          <w:color w:val="auto"/>
        </w:rPr>
      </w:pPr>
      <w:r>
        <w:rPr>
          <w:rFonts w:ascii="Arial" w:cs="Arial" w:eastAsia="Arial" w:hAnsi="Arial"/>
          <w:sz w:val="14"/>
          <w:szCs w:val="14"/>
          <w:color w:val="auto"/>
        </w:rPr>
        <w:t>To be considered for inclusion in next year's proxy statement and form of proxy, stockholder proposals for the 2020 Annual Meeting of Stockholders must be received at our principal executive offices no later than the close of business on December 27, 2019, unless the date of the 2020 Annual Meeting of Stockholders is more than 30 days before or after June 4, 2020, in which case the stockholder proposal must be received a reasonable time before we begin to print and mail our proxy materials.</w:t>
      </w:r>
    </w:p>
    <w:p>
      <w:pPr>
        <w:spacing w:after="0" w:line="143" w:lineRule="exact"/>
        <w:rPr>
          <w:sz w:val="20"/>
          <w:szCs w:val="20"/>
          <w:color w:val="auto"/>
        </w:rPr>
      </w:pPr>
    </w:p>
    <w:p>
      <w:pPr>
        <w:ind w:firstLine="298"/>
        <w:spacing w:after="0" w:line="278" w:lineRule="auto"/>
        <w:rPr>
          <w:sz w:val="20"/>
          <w:szCs w:val="20"/>
          <w:color w:val="auto"/>
        </w:rPr>
      </w:pPr>
      <w:r>
        <w:rPr>
          <w:rFonts w:ascii="Arial" w:cs="Arial" w:eastAsia="Arial" w:hAnsi="Arial"/>
          <w:sz w:val="14"/>
          <w:szCs w:val="14"/>
          <w:color w:val="auto"/>
        </w:rPr>
        <w:t>For any stockholder proposal or director nomination that is not submitted for inclusion in next year's proxy statement pursuant to the process set forth above, but is instead sought to be presented directly at the 2020 Annual Meeting of Stockholders, stockholders are advised to review our by-laws as they contain requirements with respect to advance notice of stockholder proposals and director nominations. To be timely, the notice must be received at our principal executive offices not less than 90 days nor more than 120 days prior to the first anniversary of the date of the prior year's annual meeting of stockholders. Accordingly, any such stockholder proposal or director nomination must be received between February 5, 2020 and March 6, 2020 for the 2020 Annual Meeting of Stockholders. In the event that the 2020 Annual Meeting of Stockholders is convened more than 30 days prior to or delayed by more than 60 days after June 4, 2020, notice by the stockholder, to be timely, must be received no earlier than the 120th day prior to the 2020 Annual Meeting of Stockholders and no later than the later of (1) the 90th day prior to the 2020 Annual Meeting of stockholders and (2) the tenth day following the day on which we notify stockholders of the date of the 2020 Annual Meeting of Stockholders, either by mail or other public disclosure.</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All stockholder proposals should be sent to our principal executive offices at Virtu Financial, Inc., One Liberty Plaza, 165 Broadway, New York, New York 10006, Attn: Secretary.</w:t>
      </w:r>
    </w:p>
    <w:p>
      <w:pPr>
        <w:spacing w:after="0" w:line="205" w:lineRule="exact"/>
        <w:rPr>
          <w:sz w:val="20"/>
          <w:szCs w:val="20"/>
          <w:color w:val="auto"/>
        </w:rPr>
      </w:pPr>
    </w:p>
    <w:p>
      <w:pPr>
        <w:ind w:right="360" w:firstLine="295"/>
        <w:spacing w:after="0" w:line="277" w:lineRule="auto"/>
        <w:rPr>
          <w:sz w:val="20"/>
          <w:szCs w:val="20"/>
          <w:color w:val="auto"/>
        </w:rPr>
      </w:pPr>
      <w:r>
        <w:rPr>
          <w:rFonts w:ascii="Arial" w:cs="Arial" w:eastAsia="Arial" w:hAnsi="Arial"/>
          <w:sz w:val="15"/>
          <w:szCs w:val="15"/>
          <w:color w:val="auto"/>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Consideration of Stockholder-Recommended Director Nominees</w:t>
      </w:r>
    </w:p>
    <w:p>
      <w:pPr>
        <w:spacing w:after="0" w:line="198" w:lineRule="exact"/>
        <w:rPr>
          <w:sz w:val="20"/>
          <w:szCs w:val="20"/>
          <w:color w:val="auto"/>
        </w:rPr>
      </w:pPr>
    </w:p>
    <w:p>
      <w:pPr>
        <w:ind w:right="40" w:firstLine="298"/>
        <w:spacing w:after="0" w:line="265" w:lineRule="auto"/>
        <w:rPr>
          <w:sz w:val="20"/>
          <w:szCs w:val="20"/>
          <w:color w:val="auto"/>
        </w:rPr>
      </w:pPr>
      <w:r>
        <w:rPr>
          <w:rFonts w:ascii="Arial" w:cs="Arial" w:eastAsia="Arial" w:hAnsi="Arial"/>
          <w:sz w:val="15"/>
          <w:szCs w:val="15"/>
          <w:color w:val="auto"/>
        </w:rPr>
        <w:t>Our Nominating and Corporate Governance Committee will consider director nominee recommendations submitted by our stockholders. Stockholders who wish to recommend a director nominee must submit their suggestions in the manner set forth in our bylaws as described above to our principal executive offices at Virtu Financial, Inc., One Liberty Plaza, 165 Broadway, New York, New York 10006, Attn: Secretary.</w:t>
      </w:r>
    </w:p>
    <w:p>
      <w:pPr>
        <w:spacing w:after="0" w:line="161" w:lineRule="exact"/>
        <w:rPr>
          <w:sz w:val="20"/>
          <w:szCs w:val="20"/>
          <w:color w:val="auto"/>
        </w:rPr>
      </w:pPr>
    </w:p>
    <w:p>
      <w:pPr>
        <w:ind w:right="140" w:firstLine="289"/>
        <w:spacing w:after="0" w:line="265" w:lineRule="auto"/>
        <w:rPr>
          <w:sz w:val="20"/>
          <w:szCs w:val="20"/>
          <w:color w:val="auto"/>
        </w:rPr>
      </w:pPr>
      <w:r>
        <w:rPr>
          <w:rFonts w:ascii="Arial" w:cs="Arial" w:eastAsia="Arial" w:hAnsi="Arial"/>
          <w:sz w:val="15"/>
          <w:szCs w:val="15"/>
          <w:color w:val="auto"/>
        </w:rPr>
        <w:t>As required by our bylaws, stockholders should include the name, biographical information and other relevant information relating to the recommended director nominee, including, among other things, information that would be required to be included in the proxy statement filed in accordance with applicable rules under the Exchange Act and the written consent of the director nominee to be named as a nominee and to serve as a director if elected, among other requirements set forth in our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bylaws. Evaluation of any such recommendations is the responsibility of the Nominating and Corporate Governance Committee. In the event of any stockholder recommendations, the Nominating and Corporate Governance Committee will evaluate the persons recommended in the same manner as other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Communications with the Board of Directors</w:t>
      </w:r>
    </w:p>
    <w:p>
      <w:pPr>
        <w:spacing w:after="0" w:line="198" w:lineRule="exact"/>
        <w:rPr>
          <w:sz w:val="20"/>
          <w:szCs w:val="20"/>
          <w:color w:val="auto"/>
        </w:rPr>
      </w:pPr>
    </w:p>
    <w:p>
      <w:pPr>
        <w:ind w:right="320" w:firstLine="289"/>
        <w:spacing w:after="0" w:line="314" w:lineRule="auto"/>
        <w:rPr>
          <w:sz w:val="20"/>
          <w:szCs w:val="20"/>
          <w:color w:val="auto"/>
        </w:rPr>
      </w:pPr>
      <w:r>
        <w:rPr>
          <w:rFonts w:ascii="Arial" w:cs="Arial" w:eastAsia="Arial" w:hAnsi="Arial"/>
          <w:sz w:val="14"/>
          <w:szCs w:val="14"/>
          <w:color w:val="auto"/>
        </w:rPr>
        <w:t>Any stockholder or other interested party may contact our board of directors as a group, our non-employee directors as a group, or any individual director by sending written correspondence to the following address: Virtu Financial, Inc., One Liberty Plaza, 165 Broadway, New York, New York 10006, Attn: Secretary.</w:t>
      </w:r>
    </w:p>
    <w:p>
      <w:pPr>
        <w:spacing w:after="0" w:line="12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900"/>
          </w:cols>
          <w:pgMar w:left="240" w:top="132" w:right="759" w:bottom="1440" w:gutter="0" w:footer="0" w:header="0"/>
        </w:sectPr>
      </w:pPr>
    </w:p>
    <w:bookmarkStart w:id="55" w:name="page56"/>
    <w:bookmarkEnd w:id="55"/>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142240</wp:posOffset>
            </wp:positionV>
            <wp:extent cx="7272655" cy="12674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655" cy="126746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212725</wp:posOffset>
            </wp:positionV>
            <wp:extent cx="7320280" cy="94697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69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96520</wp:posOffset>
            </wp:positionV>
            <wp:extent cx="7320280" cy="9469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697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o"/>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o"/>
      <w:numFmt w:val="bullet"/>
      <w:start w:val="1"/>
    </w:lvl>
    <w:lvl w:ilvl="1">
      <w:lvlJc w:val="left"/>
      <w:lvlText w:val="(%2)"/>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4"/>
    </w:lvl>
  </w:abstractNum>
  <w:abstractNum w:abstractNumId="27">
    <w:nsid w:val="2CA8861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2019-12-03T04:47:25Z</dcterms:created>
  <dcterms:modified xsi:type="dcterms:W3CDTF">2019-12-03T04:47:25Z</dcterms:modified>
</cp:coreProperties>
</file>