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-229870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-669290</wp:posOffset>
            </wp:positionV>
            <wp:extent cx="124460" cy="124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34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5277485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-635000</wp:posOffset>
            </wp:positionV>
            <wp:extent cx="58420" cy="64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-1621790</wp:posOffset>
            </wp:positionH>
            <wp:positionV relativeFrom="paragraph">
              <wp:posOffset>755650</wp:posOffset>
            </wp:positionV>
            <wp:extent cx="6991985" cy="5015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Gambale Virginia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Virtu Financial,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VIRT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VIRTU FINANCIAL,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1633 BROADWAY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19,978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-2120900</wp:posOffset>
            </wp:positionV>
            <wp:extent cx="29210" cy="21259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5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is granted under the Issuer's Second Amended and Restated 2015 Management Incentive Plan and represents a contingent right to receive one share of Class A common stock of the Issuer.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on July 1, 2026.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Justin Waldie,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8598" TargetMode="External"/><Relationship Id="rId14" Type="http://schemas.openxmlformats.org/officeDocument/2006/relationships/hyperlink" Target="http://www.sec.gov/cgi-bin/browse-edgar?action=getcompany&amp;CIK=00015923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2026-05-06T16:34:02Z</dcterms:created>
  <dcterms:modified xsi:type="dcterms:W3CDTF">2026-05-06T16:34:02Z</dcterms:modified>
</cp:coreProperties>
</file>